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C7D0B">
      <w:pPr>
        <w:spacing w:line="360" w:lineRule="auto"/>
        <w:rPr>
          <w:highlight w:val="none"/>
        </w:rPr>
      </w:pPr>
    </w:p>
    <w:p w14:paraId="7E49CB4F">
      <w:pPr>
        <w:spacing w:line="360" w:lineRule="auto"/>
        <w:jc w:val="left"/>
        <w:rPr>
          <w:highlight w:val="none"/>
        </w:rPr>
      </w:pPr>
    </w:p>
    <w:p w14:paraId="737CC6F5">
      <w:pPr>
        <w:spacing w:line="360" w:lineRule="auto"/>
        <w:rPr>
          <w:highlight w:val="none"/>
        </w:rPr>
      </w:pPr>
    </w:p>
    <w:p w14:paraId="1E7EBD9C">
      <w:pPr>
        <w:spacing w:line="360" w:lineRule="auto"/>
        <w:rPr>
          <w:highlight w:val="none"/>
        </w:rPr>
      </w:pPr>
    </w:p>
    <w:p w14:paraId="50E199C9">
      <w:pP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111760</wp:posOffset>
                </wp:positionV>
                <wp:extent cx="5128260" cy="163195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7CDF60D8">
                            <w:pPr>
                              <w:pStyle w:val="15"/>
                              <w:spacing w:before="0" w:after="0"/>
                              <w:rPr>
                                <w:rFonts w:hint="eastAsia" w:ascii="黑体" w:hAnsi="Times New Roman" w:eastAsia="黑体" w:cs="Times New Roman"/>
                                <w:b w:val="0"/>
                                <w:bCs w:val="0"/>
                                <w:color w:val="002071"/>
                                <w:kern w:val="2"/>
                                <w:sz w:val="52"/>
                                <w:szCs w:val="52"/>
                                <w:lang w:val="en-US" w:eastAsia="zh-CN" w:bidi="ar-SA"/>
                              </w:rPr>
                            </w:pPr>
                            <w:bookmarkStart w:id="127" w:name="_Toc444776325"/>
                            <w:bookmarkStart w:id="128" w:name="_Toc440007486"/>
                            <w:r>
                              <w:rPr>
                                <w:rFonts w:hint="eastAsia" w:ascii="黑体" w:hAnsi="Times New Roman" w:eastAsia="黑体" w:cs="Times New Roman"/>
                                <w:b w:val="0"/>
                                <w:bCs w:val="0"/>
                                <w:color w:val="002071"/>
                                <w:kern w:val="2"/>
                                <w:sz w:val="52"/>
                                <w:szCs w:val="52"/>
                                <w:lang w:val="en-US" w:eastAsia="zh-CN" w:bidi="ar-SA"/>
                              </w:rPr>
                              <w:t>信息安全管理体系认证实施方案</w:t>
                            </w:r>
                            <w:bookmarkEnd w:id="127"/>
                            <w:bookmarkEnd w:id="128"/>
                          </w:p>
                          <w:p w14:paraId="76595817">
                            <w:pPr>
                              <w:pStyle w:val="4"/>
                              <w:rPr>
                                <w:color w:val="002071"/>
                                <w:sz w:val="52"/>
                                <w:szCs w:val="52"/>
                              </w:rPr>
                            </w:pP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35.75pt;margin-top:8.8pt;height:128.5pt;width:403.8pt;z-index:251660288;mso-width-relative:page;mso-height-relative:page;" filled="f" stroked="f" coordsize="21600,21600" o:gfxdata="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IQsP2QAAAAkBAAAPAAAAAAAAAAEAIAAA&#10;ACIAAABkcnMvZG93bnJldi54bWxQSwECFAAUAAAACACHTuJA5LytkwsCAAAbBAAADgAAAAAAAAAB&#10;ACAAAAAoAQAAZHJzL2Uyb0RvYy54bWxQSwUGAAAAAAYABgBZAQAApQUAAAAA&#10;">
                <v:fill on="f" focussize="0,0"/>
                <v:stroke on="f"/>
                <v:imagedata o:title=""/>
                <o:lock v:ext="edit" aspectratio="f"/>
                <v:textbox inset="0mm,4mm,0mm,2.3mm">
                  <w:txbxContent>
                    <w:p w14:paraId="7CDF60D8">
                      <w:pPr>
                        <w:pStyle w:val="15"/>
                        <w:spacing w:before="0" w:after="0"/>
                        <w:rPr>
                          <w:rFonts w:hint="eastAsia" w:ascii="黑体" w:hAnsi="Times New Roman" w:eastAsia="黑体" w:cs="Times New Roman"/>
                          <w:b w:val="0"/>
                          <w:bCs w:val="0"/>
                          <w:color w:val="002071"/>
                          <w:kern w:val="2"/>
                          <w:sz w:val="52"/>
                          <w:szCs w:val="52"/>
                          <w:lang w:val="en-US" w:eastAsia="zh-CN" w:bidi="ar-SA"/>
                        </w:rPr>
                      </w:pPr>
                      <w:bookmarkStart w:id="127" w:name="_Toc444776325"/>
                      <w:bookmarkStart w:id="128" w:name="_Toc440007486"/>
                      <w:r>
                        <w:rPr>
                          <w:rFonts w:hint="eastAsia" w:ascii="黑体" w:hAnsi="Times New Roman" w:eastAsia="黑体" w:cs="Times New Roman"/>
                          <w:b w:val="0"/>
                          <w:bCs w:val="0"/>
                          <w:color w:val="002071"/>
                          <w:kern w:val="2"/>
                          <w:sz w:val="52"/>
                          <w:szCs w:val="52"/>
                          <w:lang w:val="en-US" w:eastAsia="zh-CN" w:bidi="ar-SA"/>
                        </w:rPr>
                        <w:t>信息安全管理体系认证实施方案</w:t>
                      </w:r>
                      <w:bookmarkEnd w:id="127"/>
                      <w:bookmarkEnd w:id="128"/>
                    </w:p>
                    <w:p w14:paraId="76595817">
                      <w:pPr>
                        <w:pStyle w:val="4"/>
                        <w:rPr>
                          <w:color w:val="002071"/>
                          <w:sz w:val="52"/>
                          <w:szCs w:val="52"/>
                        </w:rPr>
                      </w:pPr>
                    </w:p>
                  </w:txbxContent>
                </v:textbox>
              </v:shape>
            </w:pict>
          </mc:Fallback>
        </mc:AlternateContent>
      </w:r>
    </w:p>
    <w:p w14:paraId="65809C72">
      <w:pPr>
        <w:spacing w:line="360" w:lineRule="auto"/>
        <w:rPr>
          <w:rFonts w:ascii="黑体" w:hAnsi="宋体" w:eastAsia="黑体"/>
          <w:szCs w:val="21"/>
          <w:highlight w:val="none"/>
        </w:rPr>
      </w:pPr>
    </w:p>
    <w:p w14:paraId="26717164">
      <w:pPr>
        <w:spacing w:line="360" w:lineRule="auto"/>
        <w:rPr>
          <w:rFonts w:ascii="黑体" w:hAnsi="宋体" w:eastAsia="黑体"/>
          <w:szCs w:val="21"/>
          <w:highlight w:val="none"/>
        </w:rPr>
      </w:pPr>
    </w:p>
    <w:p w14:paraId="09BDF5BA">
      <w:pPr>
        <w:spacing w:line="360" w:lineRule="auto"/>
        <w:rPr>
          <w:rFonts w:ascii="黑体" w:hAnsi="宋体" w:eastAsia="黑体"/>
          <w:szCs w:val="21"/>
          <w:highlight w:val="none"/>
        </w:rPr>
      </w:pPr>
    </w:p>
    <w:p w14:paraId="18A7FC8B">
      <w:pPr>
        <w:spacing w:line="360" w:lineRule="auto"/>
        <w:rPr>
          <w:rFonts w:ascii="黑体" w:hAnsi="宋体" w:eastAsia="黑体"/>
          <w:szCs w:val="21"/>
          <w:highlight w:val="none"/>
        </w:rPr>
      </w:pPr>
    </w:p>
    <w:p w14:paraId="7E4A217D">
      <w:pPr>
        <w:spacing w:line="360" w:lineRule="auto"/>
        <w:rPr>
          <w:rFonts w:ascii="黑体" w:hAnsi="宋体" w:eastAsia="黑体"/>
          <w:szCs w:val="21"/>
          <w:highlight w:val="none"/>
        </w:rPr>
      </w:pPr>
    </w:p>
    <w:p w14:paraId="3870CBAF">
      <w:pPr>
        <w:spacing w:line="360" w:lineRule="auto"/>
        <w:rPr>
          <w:rFonts w:ascii="黑体" w:hAnsi="宋体" w:eastAsia="黑体"/>
          <w:szCs w:val="21"/>
          <w:highlight w:val="none"/>
        </w:rPr>
      </w:pPr>
    </w:p>
    <w:tbl>
      <w:tblPr>
        <w:tblStyle w:val="16"/>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72ACA23B">
        <w:tblPrEx>
          <w:tblCellMar>
            <w:top w:w="0" w:type="dxa"/>
            <w:left w:w="108" w:type="dxa"/>
            <w:bottom w:w="0" w:type="dxa"/>
            <w:right w:w="108" w:type="dxa"/>
          </w:tblCellMar>
        </w:tblPrEx>
        <w:trPr>
          <w:trHeight w:val="135" w:hRule="atLeast"/>
        </w:trPr>
        <w:tc>
          <w:tcPr>
            <w:tcW w:w="1846" w:type="dxa"/>
            <w:vAlign w:val="center"/>
          </w:tcPr>
          <w:p w14:paraId="05F10A4B">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文件编号：</w:t>
            </w:r>
          </w:p>
        </w:tc>
        <w:tc>
          <w:tcPr>
            <w:tcW w:w="4249" w:type="dxa"/>
            <w:vAlign w:val="center"/>
          </w:tcPr>
          <w:p w14:paraId="6F79CA6D">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CQM/S-FN-06-004</w:t>
            </w:r>
          </w:p>
        </w:tc>
      </w:tr>
      <w:tr w14:paraId="1CA282BF">
        <w:tblPrEx>
          <w:tblCellMar>
            <w:top w:w="0" w:type="dxa"/>
            <w:left w:w="108" w:type="dxa"/>
            <w:bottom w:w="0" w:type="dxa"/>
            <w:right w:w="108" w:type="dxa"/>
          </w:tblCellMar>
        </w:tblPrEx>
        <w:trPr>
          <w:trHeight w:val="135" w:hRule="atLeast"/>
        </w:trPr>
        <w:tc>
          <w:tcPr>
            <w:tcW w:w="1846" w:type="dxa"/>
            <w:vAlign w:val="center"/>
          </w:tcPr>
          <w:p w14:paraId="4B9AAE91">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发布日期：</w:t>
            </w:r>
          </w:p>
        </w:tc>
        <w:tc>
          <w:tcPr>
            <w:tcW w:w="4249" w:type="dxa"/>
            <w:vAlign w:val="center"/>
          </w:tcPr>
          <w:p w14:paraId="23AB4B8E">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2015年09月09日</w:t>
            </w:r>
          </w:p>
        </w:tc>
      </w:tr>
      <w:tr w14:paraId="257ECB8E">
        <w:tblPrEx>
          <w:tblCellMar>
            <w:top w:w="0" w:type="dxa"/>
            <w:left w:w="108" w:type="dxa"/>
            <w:bottom w:w="0" w:type="dxa"/>
            <w:right w:w="108" w:type="dxa"/>
          </w:tblCellMar>
        </w:tblPrEx>
        <w:trPr>
          <w:trHeight w:val="135" w:hRule="atLeast"/>
        </w:trPr>
        <w:tc>
          <w:tcPr>
            <w:tcW w:w="1846" w:type="dxa"/>
            <w:vAlign w:val="center"/>
          </w:tcPr>
          <w:p w14:paraId="0B552EE0">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修订日期：</w:t>
            </w:r>
          </w:p>
        </w:tc>
        <w:tc>
          <w:tcPr>
            <w:tcW w:w="4249" w:type="dxa"/>
            <w:vAlign w:val="center"/>
          </w:tcPr>
          <w:p w14:paraId="6EFADAA1">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r w14:paraId="65490486">
        <w:tblPrEx>
          <w:tblCellMar>
            <w:top w:w="0" w:type="dxa"/>
            <w:left w:w="108" w:type="dxa"/>
            <w:bottom w:w="0" w:type="dxa"/>
            <w:right w:w="108" w:type="dxa"/>
          </w:tblCellMar>
        </w:tblPrEx>
        <w:trPr>
          <w:trHeight w:val="135" w:hRule="atLeast"/>
        </w:trPr>
        <w:tc>
          <w:tcPr>
            <w:tcW w:w="1846" w:type="dxa"/>
            <w:vAlign w:val="center"/>
          </w:tcPr>
          <w:p w14:paraId="20925AAC">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实施日期：</w:t>
            </w:r>
          </w:p>
        </w:tc>
        <w:tc>
          <w:tcPr>
            <w:tcW w:w="4249" w:type="dxa"/>
            <w:vAlign w:val="center"/>
          </w:tcPr>
          <w:p w14:paraId="0042FB1D">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bl>
    <w:p w14:paraId="59E26A0B">
      <w:pPr>
        <w:spacing w:line="360" w:lineRule="auto"/>
        <w:rPr>
          <w:rFonts w:ascii="黑体" w:hAnsi="宋体" w:eastAsia="黑体"/>
          <w:szCs w:val="21"/>
          <w:highlight w:val="none"/>
        </w:rPr>
      </w:pPr>
    </w:p>
    <w:p w14:paraId="5C80DE6C">
      <w:pPr>
        <w:spacing w:line="360" w:lineRule="auto"/>
        <w:rPr>
          <w:rFonts w:eastAsia="方正姚体"/>
          <w:sz w:val="32"/>
          <w:highlight w:val="none"/>
        </w:rPr>
      </w:pPr>
    </w:p>
    <w:p w14:paraId="3E166DB3">
      <w:pPr>
        <w:rPr>
          <w:highlight w:val="none"/>
        </w:rPr>
      </w:pPr>
    </w:p>
    <w:p w14:paraId="0B9AC7CE">
      <w:pPr>
        <w:rPr>
          <w:highlight w:val="none"/>
        </w:rPr>
      </w:pPr>
    </w:p>
    <w:p w14:paraId="576AC57E">
      <w:pPr>
        <w:rPr>
          <w:highlight w:val="none"/>
        </w:rPr>
      </w:pPr>
    </w:p>
    <w:p w14:paraId="08710FB6">
      <w:pPr>
        <w:rPr>
          <w:highlight w:val="none"/>
        </w:rPr>
      </w:pPr>
    </w:p>
    <w:p w14:paraId="79198924">
      <w:pPr>
        <w:rPr>
          <w:highlight w:val="none"/>
        </w:rPr>
      </w:pPr>
    </w:p>
    <w:p w14:paraId="02B2AFF5">
      <w:pPr>
        <w:rPr>
          <w:highlight w:val="none"/>
        </w:rPr>
      </w:pPr>
    </w:p>
    <w:p w14:paraId="6C25A5A0">
      <w:pPr>
        <w:rPr>
          <w:highlight w:val="none"/>
        </w:rPr>
      </w:pPr>
    </w:p>
    <w:p w14:paraId="57AACE6B">
      <w:pPr>
        <w:rPr>
          <w:highlight w:val="none"/>
        </w:rPr>
      </w:pPr>
    </w:p>
    <w:p w14:paraId="55A654AB">
      <w:pPr>
        <w:rPr>
          <w:highlight w:val="none"/>
        </w:rPr>
      </w:pPr>
    </w:p>
    <w:p w14:paraId="41AF0D45">
      <w:pPr>
        <w:rPr>
          <w:highlight w:val="none"/>
        </w:rPr>
      </w:pPr>
    </w:p>
    <w:p w14:paraId="2AECDCEC">
      <w:pPr>
        <w:rPr>
          <w:highlight w:val="none"/>
        </w:rPr>
      </w:pPr>
    </w:p>
    <w:p w14:paraId="1EB7B6EB">
      <w:pPr>
        <w:rPr>
          <w:highlight w:val="none"/>
        </w:rPr>
      </w:pPr>
    </w:p>
    <w:p w14:paraId="4F339C7A">
      <w:pPr>
        <w:ind w:firstLine="600" w:firstLineChars="200"/>
        <w:jc w:val="center"/>
        <w:rPr>
          <w:sz w:val="30"/>
          <w:highlight w:val="none"/>
        </w:rPr>
      </w:pPr>
    </w:p>
    <w:p w14:paraId="2A6C5544">
      <w:pPr>
        <w:ind w:firstLine="720" w:firstLineChars="200"/>
        <w:jc w:val="center"/>
        <w:rPr>
          <w:rFonts w:ascii="黑体" w:eastAsia="黑体"/>
          <w:sz w:val="36"/>
          <w:szCs w:val="36"/>
          <w:highlight w:val="none"/>
        </w:rPr>
      </w:pPr>
    </w:p>
    <w:p w14:paraId="1709D26C">
      <w:pPr>
        <w:rPr>
          <w:highlight w:val="none"/>
        </w:rPr>
      </w:pPr>
    </w:p>
    <w:p w14:paraId="359CD262">
      <w:pPr>
        <w:rPr>
          <w:highlight w:val="none"/>
        </w:rPr>
      </w:pPr>
    </w:p>
    <w:p w14:paraId="2AAFD4B2">
      <w:pPr>
        <w:rPr>
          <w:rFonts w:ascii="宋体" w:hAnsi="宋体"/>
          <w:sz w:val="24"/>
          <w:highlight w:val="none"/>
        </w:rPr>
        <w:sectPr>
          <w:headerReference r:id="rId5" w:type="first"/>
          <w:footerReference r:id="rId7" w:type="first"/>
          <w:headerReference r:id="rId3" w:type="default"/>
          <w:footerReference r:id="rId6" w:type="default"/>
          <w:headerReference r:id="rId4" w:type="even"/>
          <w:pgSz w:w="11906" w:h="16838"/>
          <w:pgMar w:top="856" w:right="1797" w:bottom="1440" w:left="1797" w:header="159" w:footer="0" w:gutter="0"/>
          <w:pgNumType w:fmt="decimal" w:start="1"/>
          <w:cols w:space="425" w:num="1"/>
          <w:titlePg/>
          <w:docGrid w:type="lines" w:linePitch="312" w:charSpace="0"/>
        </w:sectPr>
      </w:pPr>
    </w:p>
    <w:p w14:paraId="02944F29">
      <w:pPr>
        <w:spacing w:line="360" w:lineRule="auto"/>
        <w:rPr>
          <w:rFonts w:hint="eastAsia"/>
          <w:b/>
          <w:bCs/>
          <w:sz w:val="30"/>
          <w:highlight w:val="none"/>
        </w:rPr>
      </w:pPr>
      <w:r>
        <w:rPr>
          <w:highlight w:val="none"/>
        </w:rPr>
        <w:t xml:space="preserve"> </w:t>
      </w:r>
      <w:r>
        <w:rPr>
          <w:rFonts w:hint="eastAsia" w:ascii="黑体" w:hAnsi="宋体" w:eastAsia="黑体"/>
          <w:szCs w:val="21"/>
          <w:highlight w:val="none"/>
        </w:rPr>
        <w:t xml:space="preserve">                     </w:t>
      </w:r>
    </w:p>
    <w:p w14:paraId="565426BC">
      <w:pPr>
        <w:ind w:firstLine="602" w:firstLineChars="200"/>
        <w:jc w:val="center"/>
        <w:outlineLvl w:val="0"/>
        <w:rPr>
          <w:b/>
          <w:bCs/>
          <w:sz w:val="30"/>
          <w:highlight w:val="none"/>
        </w:rPr>
      </w:pPr>
      <w:bookmarkStart w:id="0" w:name="_Toc27722"/>
      <w:bookmarkStart w:id="1" w:name="_Toc14950"/>
      <w:bookmarkStart w:id="2" w:name="_Toc21511"/>
      <w:bookmarkStart w:id="3" w:name="_Toc3753"/>
      <w:bookmarkStart w:id="4" w:name="_Toc32563"/>
      <w:r>
        <w:rPr>
          <w:rFonts w:hint="eastAsia"/>
          <w:b/>
          <w:bCs/>
          <w:sz w:val="30"/>
          <w:highlight w:val="none"/>
        </w:rPr>
        <w:t>目    录</w:t>
      </w:r>
      <w:bookmarkEnd w:id="0"/>
      <w:bookmarkEnd w:id="1"/>
      <w:bookmarkEnd w:id="2"/>
      <w:bookmarkEnd w:id="3"/>
      <w:bookmarkEnd w:id="4"/>
    </w:p>
    <w:p w14:paraId="00BAE590">
      <w:pPr>
        <w:outlineLvl w:val="9"/>
        <w:rPr>
          <w:highlight w:val="none"/>
        </w:rPr>
      </w:pPr>
    </w:p>
    <w:sdt>
      <w:sdtPr>
        <w:rPr>
          <w:rFonts w:ascii="宋体" w:hAnsi="宋体" w:eastAsia="宋体" w:cs="Times New Roman"/>
          <w:kern w:val="2"/>
          <w:sz w:val="21"/>
          <w:szCs w:val="24"/>
          <w:highlight w:val="none"/>
          <w:lang w:val="en-US" w:eastAsia="zh-CN" w:bidi="ar-SA"/>
        </w:rPr>
        <w:id w:val="147451798"/>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312EF1B1">
          <w:pPr>
            <w:pStyle w:val="23"/>
            <w:tabs>
              <w:tab w:val="right" w:leader="dot" w:pos="8312"/>
            </w:tabs>
            <w:outlineLvl w:val="9"/>
            <w:rPr>
              <w:rFonts w:ascii="Times New Roman" w:hAnsi="Times New Roman" w:eastAsia="宋体" w:cs="Times New Roman"/>
              <w:sz w:val="20"/>
              <w:szCs w:val="20"/>
              <w:highlight w:val="none"/>
            </w:rPr>
          </w:pPr>
          <w:r>
            <w:rPr>
              <w:highlight w:val="none"/>
            </w:rPr>
            <w:fldChar w:fldCharType="begin"/>
          </w:r>
          <w:r>
            <w:rPr>
              <w:highlight w:val="none"/>
            </w:rPr>
            <w:instrText xml:space="preserve">TOC \o "1-1" \h \u </w:instrText>
          </w:r>
          <w:r>
            <w:rPr>
              <w:highlight w:val="none"/>
            </w:rPr>
            <w:fldChar w:fldCharType="separate"/>
          </w:r>
        </w:p>
        <w:p w14:paraId="162A5356">
          <w:pPr>
            <w:pStyle w:val="12"/>
            <w:tabs>
              <w:tab w:val="right" w:leader="dot" w:pos="8312"/>
            </w:tabs>
          </w:pPr>
          <w:r>
            <w:rPr>
              <w:highlight w:val="none"/>
            </w:rPr>
            <w:fldChar w:fldCharType="begin"/>
          </w:r>
          <w:r>
            <w:rPr>
              <w:highlight w:val="none"/>
            </w:rPr>
            <w:instrText xml:space="preserve"> HYPERLINK \l _Toc26590 </w:instrText>
          </w:r>
          <w:r>
            <w:rPr>
              <w:highlight w:val="none"/>
            </w:rPr>
            <w:fldChar w:fldCharType="separate"/>
          </w:r>
          <w:r>
            <w:rPr>
              <w:highlight w:val="none"/>
            </w:rPr>
            <w:t>1</w:t>
          </w:r>
          <w:r>
            <w:rPr>
              <w:rFonts w:hint="eastAsia"/>
              <w:highlight w:val="none"/>
            </w:rPr>
            <w:t xml:space="preserve"> </w:t>
          </w:r>
          <w:r>
            <w:rPr>
              <w:rFonts w:hint="eastAsia" w:ascii="宋体" w:hAnsi="宋体"/>
              <w:szCs w:val="24"/>
              <w:highlight w:val="none"/>
            </w:rPr>
            <w:t>适用范围</w:t>
          </w:r>
          <w:r>
            <w:tab/>
          </w:r>
          <w:r>
            <w:fldChar w:fldCharType="begin"/>
          </w:r>
          <w:r>
            <w:instrText xml:space="preserve"> PAGEREF _Toc26590 \h </w:instrText>
          </w:r>
          <w:r>
            <w:fldChar w:fldCharType="separate"/>
          </w:r>
          <w:r>
            <w:t>2</w:t>
          </w:r>
          <w:r>
            <w:fldChar w:fldCharType="end"/>
          </w:r>
          <w:r>
            <w:rPr>
              <w:highlight w:val="none"/>
            </w:rPr>
            <w:fldChar w:fldCharType="end"/>
          </w:r>
        </w:p>
        <w:p w14:paraId="61AB974F">
          <w:pPr>
            <w:pStyle w:val="12"/>
            <w:tabs>
              <w:tab w:val="right" w:leader="dot" w:pos="8312"/>
            </w:tabs>
          </w:pPr>
          <w:r>
            <w:rPr>
              <w:highlight w:val="none"/>
            </w:rPr>
            <w:fldChar w:fldCharType="begin"/>
          </w:r>
          <w:r>
            <w:rPr>
              <w:highlight w:val="none"/>
            </w:rPr>
            <w:instrText xml:space="preserve"> HYPERLINK \l _Toc22651 </w:instrText>
          </w:r>
          <w:r>
            <w:rPr>
              <w:highlight w:val="none"/>
            </w:rPr>
            <w:fldChar w:fldCharType="separate"/>
          </w:r>
          <w:r>
            <w:rPr>
              <w:rFonts w:hint="eastAsia" w:ascii="宋体" w:hAnsi="宋体"/>
              <w:szCs w:val="24"/>
              <w:highlight w:val="none"/>
            </w:rPr>
            <w:t xml:space="preserve">2 </w:t>
          </w:r>
          <w:r>
            <w:rPr>
              <w:rFonts w:hint="eastAsia" w:ascii="宋体" w:hAnsi="宋体"/>
              <w:szCs w:val="24"/>
              <w:highlight w:val="none"/>
              <w:lang w:val="en-US" w:eastAsia="zh-CN"/>
            </w:rPr>
            <w:t>认证依据和</w:t>
          </w:r>
          <w:r>
            <w:rPr>
              <w:rFonts w:hint="eastAsia" w:ascii="宋体" w:hAnsi="宋体"/>
              <w:szCs w:val="24"/>
              <w:highlight w:val="none"/>
            </w:rPr>
            <w:t>认证模式</w:t>
          </w:r>
          <w:r>
            <w:tab/>
          </w:r>
          <w:r>
            <w:fldChar w:fldCharType="begin"/>
          </w:r>
          <w:r>
            <w:instrText xml:space="preserve"> PAGEREF _Toc22651 \h </w:instrText>
          </w:r>
          <w:r>
            <w:fldChar w:fldCharType="separate"/>
          </w:r>
          <w:r>
            <w:t>2</w:t>
          </w:r>
          <w:r>
            <w:fldChar w:fldCharType="end"/>
          </w:r>
          <w:r>
            <w:rPr>
              <w:highlight w:val="none"/>
            </w:rPr>
            <w:fldChar w:fldCharType="end"/>
          </w:r>
        </w:p>
        <w:p w14:paraId="35E921A7">
          <w:pPr>
            <w:pStyle w:val="12"/>
            <w:tabs>
              <w:tab w:val="right" w:leader="dot" w:pos="8312"/>
            </w:tabs>
          </w:pPr>
          <w:r>
            <w:rPr>
              <w:highlight w:val="none"/>
            </w:rPr>
            <w:fldChar w:fldCharType="begin"/>
          </w:r>
          <w:r>
            <w:rPr>
              <w:highlight w:val="none"/>
            </w:rPr>
            <w:instrText xml:space="preserve"> HYPERLINK \l _Toc14933 </w:instrText>
          </w:r>
          <w:r>
            <w:rPr>
              <w:highlight w:val="none"/>
            </w:rPr>
            <w:fldChar w:fldCharType="separate"/>
          </w:r>
          <w:r>
            <w:rPr>
              <w:rFonts w:hint="eastAsia" w:ascii="宋体" w:hAnsi="宋体"/>
              <w:szCs w:val="24"/>
              <w:highlight w:val="none"/>
            </w:rPr>
            <w:t>3 认证过程流程图</w:t>
          </w:r>
          <w:r>
            <w:tab/>
          </w:r>
          <w:r>
            <w:fldChar w:fldCharType="begin"/>
          </w:r>
          <w:r>
            <w:instrText xml:space="preserve"> PAGEREF _Toc14933 \h </w:instrText>
          </w:r>
          <w:r>
            <w:fldChar w:fldCharType="separate"/>
          </w:r>
          <w:r>
            <w:t>2</w:t>
          </w:r>
          <w:r>
            <w:fldChar w:fldCharType="end"/>
          </w:r>
          <w:r>
            <w:rPr>
              <w:highlight w:val="none"/>
            </w:rPr>
            <w:fldChar w:fldCharType="end"/>
          </w:r>
        </w:p>
        <w:p w14:paraId="5BB3A60F">
          <w:pPr>
            <w:pStyle w:val="12"/>
            <w:tabs>
              <w:tab w:val="right" w:leader="dot" w:pos="8312"/>
            </w:tabs>
          </w:pPr>
          <w:r>
            <w:rPr>
              <w:highlight w:val="none"/>
            </w:rPr>
            <w:fldChar w:fldCharType="begin"/>
          </w:r>
          <w:r>
            <w:rPr>
              <w:highlight w:val="none"/>
            </w:rPr>
            <w:instrText xml:space="preserve"> HYPERLINK \l _Toc4072 </w:instrText>
          </w:r>
          <w:r>
            <w:rPr>
              <w:highlight w:val="none"/>
            </w:rPr>
            <w:fldChar w:fldCharType="separate"/>
          </w:r>
          <w:r>
            <w:rPr>
              <w:rFonts w:hint="eastAsia" w:ascii="宋体" w:hAnsi="宋体"/>
              <w:szCs w:val="24"/>
              <w:highlight w:val="none"/>
            </w:rPr>
            <w:t>4 认证申请</w:t>
          </w:r>
          <w:r>
            <w:rPr>
              <w:rFonts w:hint="eastAsia"/>
              <w:highlight w:val="none"/>
              <w:lang w:val="en-US" w:eastAsia="zh-CN"/>
            </w:rPr>
            <w:t>及评审</w:t>
          </w:r>
          <w:r>
            <w:tab/>
          </w:r>
          <w:r>
            <w:fldChar w:fldCharType="begin"/>
          </w:r>
          <w:r>
            <w:instrText xml:space="preserve"> PAGEREF _Toc4072 \h </w:instrText>
          </w:r>
          <w:r>
            <w:fldChar w:fldCharType="separate"/>
          </w:r>
          <w:r>
            <w:t>3</w:t>
          </w:r>
          <w:r>
            <w:fldChar w:fldCharType="end"/>
          </w:r>
          <w:r>
            <w:rPr>
              <w:highlight w:val="none"/>
            </w:rPr>
            <w:fldChar w:fldCharType="end"/>
          </w:r>
        </w:p>
        <w:p w14:paraId="1081AEAB">
          <w:pPr>
            <w:pStyle w:val="12"/>
            <w:tabs>
              <w:tab w:val="right" w:leader="dot" w:pos="8312"/>
            </w:tabs>
          </w:pPr>
          <w:r>
            <w:rPr>
              <w:highlight w:val="none"/>
            </w:rPr>
            <w:fldChar w:fldCharType="begin"/>
          </w:r>
          <w:r>
            <w:rPr>
              <w:highlight w:val="none"/>
            </w:rPr>
            <w:instrText xml:space="preserve"> HYPERLINK \l _Toc6972 </w:instrText>
          </w:r>
          <w:r>
            <w:rPr>
              <w:highlight w:val="none"/>
            </w:rPr>
            <w:fldChar w:fldCharType="separate"/>
          </w:r>
          <w:r>
            <w:rPr>
              <w:rFonts w:hint="default" w:ascii="Times New Roman" w:hAnsi="Times New Roman" w:cs="Times New Roman"/>
              <w:szCs w:val="44"/>
              <w:highlight w:val="none"/>
              <w:lang w:val="en-US" w:eastAsia="zh-CN"/>
            </w:rPr>
            <w:t xml:space="preserve">5 </w:t>
          </w:r>
          <w:r>
            <w:rPr>
              <w:rFonts w:hint="default" w:ascii="Times New Roman" w:hAnsi="Times New Roman" w:eastAsia="宋体" w:cs="Times New Roman"/>
              <w:bCs/>
              <w:kern w:val="44"/>
              <w:szCs w:val="44"/>
              <w:highlight w:val="none"/>
              <w:lang w:val="en-US" w:eastAsia="zh-CN" w:bidi="ar"/>
            </w:rPr>
            <w:t>认证合同</w:t>
          </w:r>
          <w:r>
            <w:tab/>
          </w:r>
          <w:r>
            <w:fldChar w:fldCharType="begin"/>
          </w:r>
          <w:r>
            <w:instrText xml:space="preserve"> PAGEREF _Toc6972 \h </w:instrText>
          </w:r>
          <w:r>
            <w:fldChar w:fldCharType="separate"/>
          </w:r>
          <w:r>
            <w:t>4</w:t>
          </w:r>
          <w:r>
            <w:fldChar w:fldCharType="end"/>
          </w:r>
          <w:r>
            <w:rPr>
              <w:highlight w:val="none"/>
            </w:rPr>
            <w:fldChar w:fldCharType="end"/>
          </w:r>
        </w:p>
        <w:p w14:paraId="2F8DBD80">
          <w:pPr>
            <w:pStyle w:val="12"/>
            <w:tabs>
              <w:tab w:val="right" w:leader="dot" w:pos="8312"/>
            </w:tabs>
          </w:pPr>
          <w:r>
            <w:rPr>
              <w:highlight w:val="none"/>
            </w:rPr>
            <w:fldChar w:fldCharType="begin"/>
          </w:r>
          <w:r>
            <w:rPr>
              <w:highlight w:val="none"/>
            </w:rPr>
            <w:instrText xml:space="preserve"> HYPERLINK \l _Toc7366 </w:instrText>
          </w:r>
          <w:r>
            <w:rPr>
              <w:highlight w:val="none"/>
            </w:rPr>
            <w:fldChar w:fldCharType="separate"/>
          </w:r>
          <w:r>
            <w:rPr>
              <w:rFonts w:hint="eastAsia"/>
              <w:lang w:val="en-US" w:eastAsia="zh-CN"/>
            </w:rPr>
            <w:t>6 审核方案策划</w:t>
          </w:r>
          <w:r>
            <w:tab/>
          </w:r>
          <w:r>
            <w:fldChar w:fldCharType="begin"/>
          </w:r>
          <w:r>
            <w:instrText xml:space="preserve"> PAGEREF _Toc7366 \h </w:instrText>
          </w:r>
          <w:r>
            <w:fldChar w:fldCharType="separate"/>
          </w:r>
          <w:r>
            <w:t>4</w:t>
          </w:r>
          <w:r>
            <w:fldChar w:fldCharType="end"/>
          </w:r>
          <w:r>
            <w:rPr>
              <w:highlight w:val="none"/>
            </w:rPr>
            <w:fldChar w:fldCharType="end"/>
          </w:r>
        </w:p>
        <w:p w14:paraId="551A69C0">
          <w:pPr>
            <w:pStyle w:val="12"/>
            <w:tabs>
              <w:tab w:val="right" w:leader="dot" w:pos="8312"/>
            </w:tabs>
          </w:pPr>
          <w:r>
            <w:rPr>
              <w:highlight w:val="none"/>
            </w:rPr>
            <w:fldChar w:fldCharType="begin"/>
          </w:r>
          <w:r>
            <w:rPr>
              <w:highlight w:val="none"/>
            </w:rPr>
            <w:instrText xml:space="preserve"> HYPERLINK \l _Toc5767 </w:instrText>
          </w:r>
          <w:r>
            <w:rPr>
              <w:highlight w:val="none"/>
            </w:rPr>
            <w:fldChar w:fldCharType="separate"/>
          </w:r>
          <w:r>
            <w:rPr>
              <w:rFonts w:hint="eastAsia" w:ascii="宋体" w:hAnsi="宋体"/>
              <w:szCs w:val="24"/>
              <w:highlight w:val="none"/>
              <w:lang w:val="en-US" w:eastAsia="zh-CN"/>
            </w:rPr>
            <w:t>7</w:t>
          </w:r>
          <w:r>
            <w:rPr>
              <w:rFonts w:hint="eastAsia" w:ascii="宋体" w:hAnsi="宋体"/>
              <w:szCs w:val="24"/>
              <w:highlight w:val="none"/>
            </w:rPr>
            <w:t xml:space="preserve"> 审核实施</w:t>
          </w:r>
          <w:r>
            <w:tab/>
          </w:r>
          <w:r>
            <w:fldChar w:fldCharType="begin"/>
          </w:r>
          <w:r>
            <w:instrText xml:space="preserve"> PAGEREF _Toc5767 \h </w:instrText>
          </w:r>
          <w:r>
            <w:fldChar w:fldCharType="separate"/>
          </w:r>
          <w:r>
            <w:t>5</w:t>
          </w:r>
          <w:r>
            <w:fldChar w:fldCharType="end"/>
          </w:r>
          <w:r>
            <w:rPr>
              <w:highlight w:val="none"/>
            </w:rPr>
            <w:fldChar w:fldCharType="end"/>
          </w:r>
        </w:p>
        <w:p w14:paraId="6496FD92">
          <w:pPr>
            <w:pStyle w:val="12"/>
            <w:tabs>
              <w:tab w:val="right" w:leader="dot" w:pos="8312"/>
            </w:tabs>
          </w:pPr>
          <w:r>
            <w:rPr>
              <w:highlight w:val="none"/>
            </w:rPr>
            <w:fldChar w:fldCharType="begin"/>
          </w:r>
          <w:r>
            <w:rPr>
              <w:highlight w:val="none"/>
            </w:rPr>
            <w:instrText xml:space="preserve"> HYPERLINK \l _Toc13141 </w:instrText>
          </w:r>
          <w:r>
            <w:rPr>
              <w:highlight w:val="none"/>
            </w:rPr>
            <w:fldChar w:fldCharType="separate"/>
          </w:r>
          <w:r>
            <w:rPr>
              <w:rFonts w:hint="eastAsia" w:ascii="宋体" w:hAnsi="宋体"/>
              <w:highlight w:val="none"/>
              <w:lang w:val="en-US" w:eastAsia="zh-CN"/>
            </w:rPr>
            <w:t>8</w:t>
          </w:r>
          <w:r>
            <w:rPr>
              <w:rFonts w:hint="eastAsia" w:ascii="宋体" w:hAnsi="宋体"/>
              <w:highlight w:val="none"/>
            </w:rPr>
            <w:t xml:space="preserve"> 不符合</w:t>
          </w:r>
          <w:r>
            <w:tab/>
          </w:r>
          <w:r>
            <w:fldChar w:fldCharType="begin"/>
          </w:r>
          <w:r>
            <w:instrText xml:space="preserve"> PAGEREF _Toc13141 \h </w:instrText>
          </w:r>
          <w:r>
            <w:fldChar w:fldCharType="separate"/>
          </w:r>
          <w:r>
            <w:t>8</w:t>
          </w:r>
          <w:r>
            <w:fldChar w:fldCharType="end"/>
          </w:r>
          <w:r>
            <w:rPr>
              <w:highlight w:val="none"/>
            </w:rPr>
            <w:fldChar w:fldCharType="end"/>
          </w:r>
        </w:p>
        <w:p w14:paraId="744E1540">
          <w:pPr>
            <w:pStyle w:val="12"/>
            <w:tabs>
              <w:tab w:val="right" w:leader="dot" w:pos="8312"/>
            </w:tabs>
          </w:pPr>
          <w:r>
            <w:rPr>
              <w:highlight w:val="none"/>
            </w:rPr>
            <w:fldChar w:fldCharType="begin"/>
          </w:r>
          <w:r>
            <w:rPr>
              <w:highlight w:val="none"/>
            </w:rPr>
            <w:instrText xml:space="preserve"> HYPERLINK \l _Toc13227 </w:instrText>
          </w:r>
          <w:r>
            <w:rPr>
              <w:highlight w:val="none"/>
            </w:rPr>
            <w:fldChar w:fldCharType="separate"/>
          </w:r>
          <w:r>
            <w:rPr>
              <w:rFonts w:hint="eastAsia" w:ascii="宋体" w:hAnsi="宋体"/>
              <w:highlight w:val="none"/>
              <w:lang w:val="en-US" w:eastAsia="zh-CN"/>
            </w:rPr>
            <w:t>9</w:t>
          </w:r>
          <w:r>
            <w:rPr>
              <w:rFonts w:hint="eastAsia" w:ascii="宋体" w:hAnsi="宋体"/>
              <w:highlight w:val="none"/>
            </w:rPr>
            <w:t xml:space="preserve"> 审核报告</w:t>
          </w:r>
          <w:r>
            <w:tab/>
          </w:r>
          <w:r>
            <w:fldChar w:fldCharType="begin"/>
          </w:r>
          <w:r>
            <w:instrText xml:space="preserve"> PAGEREF _Toc13227 \h </w:instrText>
          </w:r>
          <w:r>
            <w:fldChar w:fldCharType="separate"/>
          </w:r>
          <w:r>
            <w:t>9</w:t>
          </w:r>
          <w:r>
            <w:fldChar w:fldCharType="end"/>
          </w:r>
          <w:r>
            <w:rPr>
              <w:highlight w:val="none"/>
            </w:rPr>
            <w:fldChar w:fldCharType="end"/>
          </w:r>
        </w:p>
        <w:p w14:paraId="0CA0B8CB">
          <w:pPr>
            <w:pStyle w:val="12"/>
            <w:tabs>
              <w:tab w:val="right" w:leader="dot" w:pos="8312"/>
            </w:tabs>
          </w:pPr>
          <w:r>
            <w:rPr>
              <w:highlight w:val="none"/>
            </w:rPr>
            <w:fldChar w:fldCharType="begin"/>
          </w:r>
          <w:r>
            <w:rPr>
              <w:highlight w:val="none"/>
            </w:rPr>
            <w:instrText xml:space="preserve"> HYPERLINK \l _Toc12829 </w:instrText>
          </w:r>
          <w:r>
            <w:rPr>
              <w:highlight w:val="none"/>
            </w:rPr>
            <w:fldChar w:fldCharType="separate"/>
          </w:r>
          <w:r>
            <w:rPr>
              <w:rFonts w:hint="eastAsia"/>
              <w:highlight w:val="none"/>
              <w:lang w:val="en-US" w:eastAsia="zh-CN"/>
            </w:rPr>
            <w:t>10 认证资料保存</w:t>
          </w:r>
          <w:r>
            <w:tab/>
          </w:r>
          <w:r>
            <w:fldChar w:fldCharType="begin"/>
          </w:r>
          <w:r>
            <w:instrText xml:space="preserve"> PAGEREF _Toc12829 \h </w:instrText>
          </w:r>
          <w:r>
            <w:fldChar w:fldCharType="separate"/>
          </w:r>
          <w:r>
            <w:t>9</w:t>
          </w:r>
          <w:r>
            <w:fldChar w:fldCharType="end"/>
          </w:r>
          <w:r>
            <w:rPr>
              <w:highlight w:val="none"/>
            </w:rPr>
            <w:fldChar w:fldCharType="end"/>
          </w:r>
        </w:p>
        <w:p w14:paraId="0F94CAED">
          <w:pPr>
            <w:pStyle w:val="12"/>
            <w:tabs>
              <w:tab w:val="right" w:leader="dot" w:pos="8312"/>
            </w:tabs>
          </w:pPr>
          <w:r>
            <w:rPr>
              <w:highlight w:val="none"/>
            </w:rPr>
            <w:fldChar w:fldCharType="begin"/>
          </w:r>
          <w:r>
            <w:rPr>
              <w:highlight w:val="none"/>
            </w:rPr>
            <w:instrText xml:space="preserve"> HYPERLINK \l _Toc30471 </w:instrText>
          </w:r>
          <w:r>
            <w:rPr>
              <w:highlight w:val="none"/>
            </w:rPr>
            <w:fldChar w:fldCharType="separate"/>
          </w:r>
          <w:r>
            <w:rPr>
              <w:rFonts w:hint="eastAsia"/>
              <w:highlight w:val="none"/>
              <w:lang w:val="en-US" w:eastAsia="zh-CN"/>
            </w:rPr>
            <w:t>11</w:t>
          </w:r>
          <w:r>
            <w:rPr>
              <w:rFonts w:hint="eastAsia"/>
              <w:highlight w:val="none"/>
            </w:rPr>
            <w:t xml:space="preserve"> 认证的批准、</w:t>
          </w:r>
          <w:r>
            <w:rPr>
              <w:rFonts w:hint="eastAsia"/>
              <w:highlight w:val="none"/>
              <w:lang w:eastAsia="zh-CN"/>
            </w:rPr>
            <w:t>拒绝、</w:t>
          </w:r>
          <w:r>
            <w:rPr>
              <w:rFonts w:hint="eastAsia"/>
              <w:highlight w:val="none"/>
            </w:rPr>
            <w:t>保持、</w:t>
          </w:r>
          <w:r>
            <w:rPr>
              <w:rFonts w:hint="eastAsia"/>
              <w:highlight w:val="none"/>
              <w:lang w:val="en-US" w:eastAsia="zh-CN"/>
            </w:rPr>
            <w:t>变更、</w:t>
          </w:r>
          <w:r>
            <w:rPr>
              <w:rFonts w:hint="eastAsia"/>
              <w:highlight w:val="none"/>
            </w:rPr>
            <w:t>扩大、缩小、暂停、恢复和撤销的条件和程序</w:t>
          </w:r>
          <w:r>
            <w:tab/>
          </w:r>
          <w:r>
            <w:fldChar w:fldCharType="begin"/>
          </w:r>
          <w:r>
            <w:instrText xml:space="preserve"> PAGEREF _Toc30471 \h </w:instrText>
          </w:r>
          <w:r>
            <w:fldChar w:fldCharType="separate"/>
          </w:r>
          <w:r>
            <w:t>9</w:t>
          </w:r>
          <w:r>
            <w:fldChar w:fldCharType="end"/>
          </w:r>
          <w:r>
            <w:rPr>
              <w:highlight w:val="none"/>
            </w:rPr>
            <w:fldChar w:fldCharType="end"/>
          </w:r>
        </w:p>
        <w:p w14:paraId="33403515">
          <w:pPr>
            <w:pStyle w:val="12"/>
            <w:tabs>
              <w:tab w:val="right" w:leader="dot" w:pos="8312"/>
            </w:tabs>
          </w:pPr>
          <w:r>
            <w:rPr>
              <w:highlight w:val="none"/>
            </w:rPr>
            <w:fldChar w:fldCharType="begin"/>
          </w:r>
          <w:r>
            <w:rPr>
              <w:highlight w:val="none"/>
            </w:rPr>
            <w:instrText xml:space="preserve"> HYPERLINK \l _Toc15102 </w:instrText>
          </w:r>
          <w:r>
            <w:rPr>
              <w:highlight w:val="none"/>
            </w:rPr>
            <w:fldChar w:fldCharType="separate"/>
          </w:r>
          <w:r>
            <w:rPr>
              <w:rFonts w:hint="eastAsia" w:ascii="宋体" w:hAnsi="宋体"/>
              <w:highlight w:val="none"/>
              <w:lang w:val="en-US" w:eastAsia="zh-CN"/>
            </w:rPr>
            <w:t>12</w:t>
          </w:r>
          <w:r>
            <w:rPr>
              <w:rFonts w:hint="eastAsia" w:ascii="宋体" w:hAnsi="宋体"/>
              <w:highlight w:val="none"/>
            </w:rPr>
            <w:t xml:space="preserve"> 认证证书和认证标志</w:t>
          </w:r>
          <w:r>
            <w:tab/>
          </w:r>
          <w:r>
            <w:fldChar w:fldCharType="begin"/>
          </w:r>
          <w:r>
            <w:instrText xml:space="preserve"> PAGEREF _Toc15102 \h </w:instrText>
          </w:r>
          <w:r>
            <w:fldChar w:fldCharType="separate"/>
          </w:r>
          <w:r>
            <w:t>9</w:t>
          </w:r>
          <w:r>
            <w:fldChar w:fldCharType="end"/>
          </w:r>
          <w:r>
            <w:rPr>
              <w:highlight w:val="none"/>
            </w:rPr>
            <w:fldChar w:fldCharType="end"/>
          </w:r>
        </w:p>
        <w:p w14:paraId="0F575EB9">
          <w:pPr>
            <w:pStyle w:val="12"/>
            <w:tabs>
              <w:tab w:val="right" w:leader="dot" w:pos="8312"/>
            </w:tabs>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r>
            <w:tab/>
          </w:r>
          <w:r>
            <w:fldChar w:fldCharType="begin"/>
          </w:r>
          <w:r>
            <w:instrText xml:space="preserve"> PAGEREF _Toc31910 \h </w:instrText>
          </w:r>
          <w:r>
            <w:fldChar w:fldCharType="separate"/>
          </w:r>
          <w:r>
            <w:t>11</w:t>
          </w:r>
          <w:r>
            <w:fldChar w:fldCharType="end"/>
          </w:r>
          <w:r>
            <w:rPr>
              <w:highlight w:val="none"/>
            </w:rPr>
            <w:fldChar w:fldCharType="end"/>
          </w:r>
        </w:p>
        <w:p w14:paraId="0C101AA2">
          <w:pPr>
            <w:pStyle w:val="12"/>
            <w:tabs>
              <w:tab w:val="right" w:leader="dot" w:pos="8312"/>
            </w:tabs>
          </w:pPr>
          <w:r>
            <w:rPr>
              <w:highlight w:val="none"/>
            </w:rPr>
            <w:fldChar w:fldCharType="begin"/>
          </w:r>
          <w:r>
            <w:rPr>
              <w:highlight w:val="none"/>
            </w:rPr>
            <w:instrText xml:space="preserve"> HYPERLINK \l _Toc32242 </w:instrText>
          </w:r>
          <w:r>
            <w:rPr>
              <w:highlight w:val="none"/>
            </w:rPr>
            <w:fldChar w:fldCharType="separate"/>
          </w: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r>
            <w:tab/>
          </w:r>
          <w:r>
            <w:fldChar w:fldCharType="begin"/>
          </w:r>
          <w:r>
            <w:instrText xml:space="preserve"> PAGEREF _Toc32242 \h </w:instrText>
          </w:r>
          <w:r>
            <w:fldChar w:fldCharType="separate"/>
          </w:r>
          <w:r>
            <w:t>11</w:t>
          </w:r>
          <w:r>
            <w:fldChar w:fldCharType="end"/>
          </w:r>
          <w:r>
            <w:rPr>
              <w:highlight w:val="none"/>
            </w:rPr>
            <w:fldChar w:fldCharType="end"/>
          </w:r>
        </w:p>
        <w:p w14:paraId="298D2860">
          <w:pPr>
            <w:pStyle w:val="12"/>
            <w:tabs>
              <w:tab w:val="right" w:leader="dot" w:pos="8312"/>
            </w:tabs>
          </w:pPr>
          <w:r>
            <w:rPr>
              <w:highlight w:val="none"/>
            </w:rPr>
            <w:fldChar w:fldCharType="begin"/>
          </w:r>
          <w:r>
            <w:rPr>
              <w:highlight w:val="none"/>
            </w:rPr>
            <w:instrText xml:space="preserve"> HYPERLINK \l _Toc6773 </w:instrText>
          </w:r>
          <w:r>
            <w:rPr>
              <w:highlight w:val="none"/>
            </w:rPr>
            <w:fldChar w:fldCharType="separate"/>
          </w:r>
          <w:r>
            <w:rPr>
              <w:rFonts w:hint="eastAsia"/>
              <w:highlight w:val="none"/>
            </w:rPr>
            <w:t>1</w:t>
          </w:r>
          <w:r>
            <w:rPr>
              <w:rFonts w:hint="eastAsia"/>
              <w:highlight w:val="none"/>
              <w:lang w:val="en-US" w:eastAsia="zh-CN"/>
            </w:rPr>
            <w:t>5</w:t>
          </w:r>
          <w:r>
            <w:rPr>
              <w:rFonts w:hint="eastAsia"/>
              <w:highlight w:val="none"/>
            </w:rPr>
            <w:t xml:space="preserve"> 公告</w:t>
          </w:r>
          <w:r>
            <w:tab/>
          </w:r>
          <w:r>
            <w:fldChar w:fldCharType="begin"/>
          </w:r>
          <w:r>
            <w:instrText xml:space="preserve"> PAGEREF _Toc6773 \h </w:instrText>
          </w:r>
          <w:r>
            <w:fldChar w:fldCharType="separate"/>
          </w:r>
          <w:r>
            <w:t>11</w:t>
          </w:r>
          <w:r>
            <w:fldChar w:fldCharType="end"/>
          </w:r>
          <w:r>
            <w:rPr>
              <w:highlight w:val="none"/>
            </w:rPr>
            <w:fldChar w:fldCharType="end"/>
          </w:r>
        </w:p>
        <w:p w14:paraId="45E039B3">
          <w:pPr>
            <w:pStyle w:val="12"/>
            <w:tabs>
              <w:tab w:val="right" w:leader="dot" w:pos="8312"/>
            </w:tabs>
          </w:pPr>
          <w:r>
            <w:rPr>
              <w:highlight w:val="none"/>
            </w:rPr>
            <w:fldChar w:fldCharType="begin"/>
          </w:r>
          <w:r>
            <w:rPr>
              <w:highlight w:val="none"/>
            </w:rPr>
            <w:instrText xml:space="preserve"> HYPERLINK \l _Toc18983 </w:instrText>
          </w:r>
          <w:r>
            <w:rPr>
              <w:highlight w:val="none"/>
            </w:rPr>
            <w:fldChar w:fldCharType="separate"/>
          </w:r>
          <w:r>
            <w:rPr>
              <w:rFonts w:hint="eastAsia"/>
              <w:highlight w:val="none"/>
            </w:rPr>
            <w:t>1</w:t>
          </w:r>
          <w:r>
            <w:rPr>
              <w:rFonts w:hint="eastAsia"/>
              <w:highlight w:val="none"/>
              <w:lang w:val="en-US" w:eastAsia="zh-CN"/>
            </w:rPr>
            <w:t>6</w:t>
          </w:r>
          <w:r>
            <w:rPr>
              <w:rFonts w:hint="eastAsia"/>
              <w:highlight w:val="none"/>
            </w:rPr>
            <w:t xml:space="preserve"> 附则</w:t>
          </w:r>
          <w:r>
            <w:tab/>
          </w:r>
          <w:r>
            <w:fldChar w:fldCharType="begin"/>
          </w:r>
          <w:r>
            <w:instrText xml:space="preserve"> PAGEREF _Toc18983 \h </w:instrText>
          </w:r>
          <w:r>
            <w:fldChar w:fldCharType="separate"/>
          </w:r>
          <w:r>
            <w:t>11</w:t>
          </w:r>
          <w:r>
            <w:fldChar w:fldCharType="end"/>
          </w:r>
          <w:r>
            <w:rPr>
              <w:highlight w:val="none"/>
            </w:rPr>
            <w:fldChar w:fldCharType="end"/>
          </w:r>
        </w:p>
        <w:p w14:paraId="545D8FDA">
          <w:pPr>
            <w:tabs>
              <w:tab w:val="right" w:leader="dot" w:pos="8312"/>
            </w:tabs>
            <w:outlineLvl w:val="9"/>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13493944">
      <w:pPr>
        <w:outlineLvl w:val="9"/>
        <w:rPr>
          <w:rFonts w:ascii="Times New Roman" w:hAnsi="Times New Roman" w:eastAsia="宋体" w:cs="Times New Roman"/>
          <w:kern w:val="2"/>
          <w:sz w:val="21"/>
          <w:szCs w:val="24"/>
          <w:highlight w:val="none"/>
          <w:lang w:val="en-US" w:eastAsia="zh-CN" w:bidi="ar-SA"/>
        </w:rPr>
      </w:pPr>
    </w:p>
    <w:p w14:paraId="57918FCB">
      <w:pPr>
        <w:ind w:firstLine="602" w:firstLineChars="200"/>
        <w:jc w:val="center"/>
        <w:rPr>
          <w:b/>
          <w:bCs/>
          <w:sz w:val="30"/>
          <w:highlight w:val="none"/>
        </w:rPr>
      </w:pPr>
    </w:p>
    <w:p w14:paraId="02F3C5B8">
      <w:pPr>
        <w:ind w:firstLine="602" w:firstLineChars="200"/>
        <w:jc w:val="center"/>
        <w:rPr>
          <w:b/>
          <w:bCs/>
          <w:sz w:val="30"/>
          <w:highlight w:val="none"/>
        </w:rPr>
      </w:pPr>
    </w:p>
    <w:p w14:paraId="6DB35BC3">
      <w:pPr>
        <w:ind w:firstLine="602" w:firstLineChars="200"/>
        <w:jc w:val="center"/>
        <w:rPr>
          <w:b/>
          <w:bCs/>
          <w:sz w:val="30"/>
          <w:highlight w:val="none"/>
        </w:rPr>
      </w:pPr>
    </w:p>
    <w:p w14:paraId="7B73CE50">
      <w:pPr>
        <w:ind w:firstLine="602" w:firstLineChars="200"/>
        <w:jc w:val="center"/>
        <w:rPr>
          <w:b/>
          <w:bCs/>
          <w:sz w:val="30"/>
          <w:highlight w:val="none"/>
        </w:rPr>
      </w:pPr>
    </w:p>
    <w:p w14:paraId="0AA26B65">
      <w:pPr>
        <w:ind w:firstLine="602" w:firstLineChars="200"/>
        <w:jc w:val="center"/>
        <w:rPr>
          <w:b/>
          <w:bCs/>
          <w:sz w:val="30"/>
          <w:highlight w:val="none"/>
        </w:rPr>
      </w:pPr>
    </w:p>
    <w:p w14:paraId="355D8202">
      <w:pPr>
        <w:spacing w:before="469" w:beforeLines="150"/>
        <w:jc w:val="center"/>
        <w:outlineLvl w:val="0"/>
        <w:rPr>
          <w:rFonts w:hint="eastAsia" w:ascii="黑体" w:hAnsi="黑体" w:eastAsia="黑体"/>
          <w:sz w:val="36"/>
          <w:szCs w:val="36"/>
          <w:highlight w:val="none"/>
        </w:rPr>
      </w:pPr>
      <w:bookmarkStart w:id="5" w:name="_Toc28456"/>
      <w:bookmarkStart w:id="6" w:name="_Toc27912"/>
      <w:bookmarkStart w:id="7" w:name="_Toc3624"/>
      <w:bookmarkStart w:id="8" w:name="_Toc30227"/>
      <w:bookmarkStart w:id="9" w:name="_Toc15428"/>
      <w:bookmarkStart w:id="10" w:name="_Toc440007487"/>
      <w:bookmarkStart w:id="11" w:name="_Toc444776326"/>
      <w:r>
        <w:rPr>
          <w:rFonts w:hint="eastAsia" w:ascii="黑体" w:hAnsi="黑体" w:eastAsia="黑体"/>
          <w:bCs/>
          <w:sz w:val="36"/>
          <w:szCs w:val="36"/>
          <w:highlight w:val="none"/>
        </w:rPr>
        <w:t>信息安全管理</w:t>
      </w:r>
      <w:bookmarkEnd w:id="5"/>
      <w:r>
        <w:rPr>
          <w:rFonts w:hint="eastAsia" w:ascii="黑体" w:hAnsi="黑体" w:eastAsia="黑体"/>
          <w:bCs/>
          <w:sz w:val="36"/>
          <w:szCs w:val="36"/>
          <w:highlight w:val="none"/>
        </w:rPr>
        <w:t>体系</w:t>
      </w:r>
      <w:r>
        <w:rPr>
          <w:rFonts w:hint="eastAsia" w:ascii="黑体" w:hAnsi="黑体" w:eastAsia="黑体"/>
          <w:sz w:val="36"/>
          <w:szCs w:val="36"/>
          <w:highlight w:val="none"/>
        </w:rPr>
        <w:t>认证实施方案</w:t>
      </w:r>
      <w:bookmarkEnd w:id="6"/>
      <w:bookmarkEnd w:id="7"/>
      <w:bookmarkEnd w:id="8"/>
      <w:bookmarkEnd w:id="9"/>
    </w:p>
    <w:bookmarkEnd w:id="10"/>
    <w:bookmarkEnd w:id="11"/>
    <w:p w14:paraId="415F895A">
      <w:pPr>
        <w:pStyle w:val="2"/>
        <w:spacing w:line="360" w:lineRule="auto"/>
        <w:outlineLvl w:val="9"/>
        <w:rPr>
          <w:rFonts w:hint="eastAsia"/>
          <w:highlight w:val="none"/>
          <w:lang w:eastAsia="zh-CN"/>
        </w:rPr>
      </w:pPr>
      <w:bookmarkStart w:id="12" w:name="_Toc444776327"/>
      <w:bookmarkStart w:id="13" w:name="_Toc85103622"/>
      <w:bookmarkStart w:id="14" w:name="_Toc185325622"/>
      <w:bookmarkStart w:id="15" w:name="_Toc85105511"/>
      <w:bookmarkStart w:id="16" w:name="_Toc85256247"/>
    </w:p>
    <w:p w14:paraId="7667C6D4">
      <w:pPr>
        <w:pStyle w:val="2"/>
        <w:spacing w:line="360" w:lineRule="auto"/>
        <w:rPr>
          <w:rFonts w:hint="eastAsia"/>
          <w:highlight w:val="none"/>
          <w:lang w:eastAsia="zh-CN"/>
        </w:rPr>
      </w:pPr>
      <w:bookmarkStart w:id="17" w:name="_Toc26590"/>
      <w:bookmarkStart w:id="18" w:name="_Toc16544"/>
      <w:r>
        <w:rPr>
          <w:highlight w:val="none"/>
        </w:rPr>
        <w:t>1</w:t>
      </w:r>
      <w:r>
        <w:rPr>
          <w:rFonts w:hint="eastAsia"/>
          <w:highlight w:val="none"/>
        </w:rPr>
        <w:t xml:space="preserve"> </w:t>
      </w:r>
      <w:r>
        <w:rPr>
          <w:rFonts w:hint="eastAsia" w:ascii="宋体" w:hAnsi="宋体"/>
          <w:szCs w:val="24"/>
          <w:highlight w:val="none"/>
        </w:rPr>
        <w:t>适用范围</w:t>
      </w:r>
      <w:bookmarkEnd w:id="12"/>
      <w:bookmarkEnd w:id="13"/>
      <w:bookmarkEnd w:id="14"/>
      <w:bookmarkEnd w:id="15"/>
      <w:bookmarkEnd w:id="16"/>
      <w:bookmarkEnd w:id="17"/>
      <w:bookmarkEnd w:id="18"/>
    </w:p>
    <w:p w14:paraId="30B70D2C">
      <w:pPr>
        <w:spacing w:line="360" w:lineRule="auto"/>
        <w:ind w:firstLine="480" w:firstLineChars="200"/>
        <w:rPr>
          <w:rFonts w:hint="eastAsia" w:ascii="宋体" w:hAnsi="宋体"/>
          <w:sz w:val="24"/>
          <w:highlight w:val="none"/>
        </w:rPr>
      </w:pPr>
      <w:r>
        <w:rPr>
          <w:rFonts w:hint="eastAsia" w:ascii="宋体" w:hAnsi="宋体"/>
          <w:sz w:val="24"/>
          <w:highlight w:val="none"/>
        </w:rPr>
        <w:t>本认证方案适用于方圆标志认证集团有限公司（以下简称：CQM）实施信息安全管理体系认证，满足第三方认证制度要求，作为提供认证服务的规范。必要时，在认证合同中补充相关的技术要求。</w:t>
      </w:r>
    </w:p>
    <w:p w14:paraId="6B5B5D80">
      <w:pPr>
        <w:spacing w:line="360" w:lineRule="auto"/>
        <w:ind w:firstLine="480" w:firstLineChars="200"/>
        <w:rPr>
          <w:rFonts w:hint="eastAsia" w:ascii="宋体" w:hAnsi="宋体"/>
          <w:sz w:val="24"/>
          <w:highlight w:val="none"/>
        </w:rPr>
      </w:pPr>
      <w:r>
        <w:rPr>
          <w:rFonts w:hint="eastAsia" w:ascii="宋体" w:hAnsi="宋体"/>
          <w:sz w:val="24"/>
          <w:highlight w:val="none"/>
        </w:rPr>
        <w:t>本认证方案在认证双方签订合同时予以确认和采用。</w:t>
      </w:r>
      <w:bookmarkStart w:id="19" w:name="_Toc33598962"/>
      <w:bookmarkStart w:id="20" w:name="_Toc85103623"/>
      <w:bookmarkStart w:id="21" w:name="_Toc33598531"/>
      <w:bookmarkStart w:id="22" w:name="_Toc33598902"/>
      <w:bookmarkStart w:id="23" w:name="_Toc85256248"/>
      <w:bookmarkStart w:id="24" w:name="_Toc33599577"/>
      <w:bookmarkStart w:id="25" w:name="_Toc33600362"/>
      <w:bookmarkStart w:id="26" w:name="_Toc85105512"/>
      <w:bookmarkStart w:id="27" w:name="_Toc33599704"/>
      <w:bookmarkStart w:id="28" w:name="_Toc33600411"/>
    </w:p>
    <w:p w14:paraId="057F34E4">
      <w:pPr>
        <w:spacing w:line="360" w:lineRule="auto"/>
        <w:ind w:firstLine="480" w:firstLineChars="200"/>
        <w:rPr>
          <w:rFonts w:hint="eastAsia" w:ascii="宋体" w:hAnsi="宋体"/>
          <w:sz w:val="24"/>
          <w:highlight w:val="none"/>
        </w:rPr>
      </w:pPr>
    </w:p>
    <w:p w14:paraId="738B0DF2">
      <w:pPr>
        <w:pStyle w:val="2"/>
        <w:spacing w:line="360" w:lineRule="auto"/>
        <w:rPr>
          <w:rFonts w:hint="eastAsia" w:ascii="宋体" w:hAnsi="宋体"/>
          <w:szCs w:val="24"/>
          <w:highlight w:val="none"/>
        </w:rPr>
      </w:pPr>
      <w:bookmarkStart w:id="29" w:name="_Toc22651"/>
      <w:bookmarkStart w:id="30" w:name="_Toc1146"/>
      <w:bookmarkStart w:id="31" w:name="_Toc444776328"/>
      <w:bookmarkStart w:id="32" w:name="_Toc185325623"/>
      <w:r>
        <w:rPr>
          <w:rFonts w:hint="eastAsia" w:ascii="宋体" w:hAnsi="宋体"/>
          <w:szCs w:val="24"/>
          <w:highlight w:val="none"/>
        </w:rPr>
        <w:t xml:space="preserve">2 </w:t>
      </w:r>
      <w:r>
        <w:rPr>
          <w:rFonts w:hint="eastAsia" w:ascii="宋体" w:hAnsi="宋体"/>
          <w:szCs w:val="24"/>
          <w:highlight w:val="none"/>
          <w:lang w:val="en-US" w:eastAsia="zh-CN"/>
        </w:rPr>
        <w:t>认证依据和</w:t>
      </w:r>
      <w:r>
        <w:rPr>
          <w:rFonts w:hint="eastAsia" w:ascii="宋体" w:hAnsi="宋体"/>
          <w:szCs w:val="24"/>
          <w:highlight w:val="none"/>
        </w:rPr>
        <w:t>认证模式</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28F6482">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认证依据：</w:t>
      </w:r>
      <w:r>
        <w:rPr>
          <w:rFonts w:hint="eastAsia" w:ascii="宋体" w:hAnsi="宋体"/>
          <w:sz w:val="24"/>
          <w:highlight w:val="yellow"/>
          <w:lang w:val="en-US" w:eastAsia="zh-CN"/>
        </w:rPr>
        <w:t>GB/T22080-2025/</w:t>
      </w:r>
      <w:r>
        <w:rPr>
          <w:rFonts w:hint="eastAsia" w:ascii="宋体" w:hAnsi="宋体"/>
          <w:sz w:val="24"/>
          <w:highlight w:val="yellow"/>
        </w:rPr>
        <w:t>ISO/IEC 27001</w:t>
      </w:r>
      <w:r>
        <w:rPr>
          <w:rFonts w:hint="eastAsia" w:ascii="宋体" w:hAnsi="宋体"/>
          <w:sz w:val="24"/>
          <w:highlight w:val="yellow"/>
          <w:lang w:val="en-US" w:eastAsia="zh-CN"/>
        </w:rPr>
        <w:t>:2022</w:t>
      </w:r>
      <w:r>
        <w:rPr>
          <w:rFonts w:hint="eastAsia" w:ascii="宋体" w:hAnsi="宋体"/>
          <w:sz w:val="24"/>
          <w:highlight w:val="yellow"/>
        </w:rPr>
        <w:t>《</w:t>
      </w:r>
      <w:r>
        <w:rPr>
          <w:rFonts w:hint="eastAsia" w:ascii="宋体" w:hAnsi="宋体"/>
          <w:b w:val="0"/>
          <w:color w:val="auto"/>
          <w:sz w:val="24"/>
          <w:highlight w:val="yellow"/>
          <w:lang w:eastAsia="zh-CN"/>
        </w:rPr>
        <w:t>网络安全</w:t>
      </w:r>
      <w:r>
        <w:rPr>
          <w:rFonts w:hint="eastAsia" w:ascii="宋体" w:hAnsi="宋体"/>
          <w:b w:val="0"/>
          <w:color w:val="auto"/>
          <w:sz w:val="24"/>
          <w:highlight w:val="yellow"/>
          <w:lang w:val="en-US" w:eastAsia="zh-CN"/>
        </w:rPr>
        <w:t xml:space="preserve">技术 </w:t>
      </w:r>
      <w:r>
        <w:rPr>
          <w:rFonts w:hint="eastAsia" w:ascii="宋体" w:hAnsi="宋体"/>
          <w:b w:val="0"/>
          <w:color w:val="auto"/>
          <w:sz w:val="24"/>
          <w:highlight w:val="yellow"/>
          <w:lang w:eastAsia="zh-CN"/>
        </w:rPr>
        <w:t>信息安全</w:t>
      </w:r>
      <w:r>
        <w:rPr>
          <w:rFonts w:hint="eastAsia" w:ascii="宋体" w:hAnsi="宋体" w:eastAsia="宋体"/>
          <w:b w:val="0"/>
          <w:color w:val="auto"/>
          <w:sz w:val="24"/>
          <w:highlight w:val="yellow"/>
          <w:lang w:eastAsia="zh-CN"/>
        </w:rPr>
        <w:t xml:space="preserve"> </w:t>
      </w:r>
      <w:r>
        <w:rPr>
          <w:rFonts w:hint="eastAsia" w:ascii="宋体" w:hAnsi="宋体"/>
          <w:b w:val="0"/>
          <w:color w:val="auto"/>
          <w:sz w:val="24"/>
          <w:highlight w:val="yellow"/>
          <w:lang w:eastAsia="zh-CN"/>
        </w:rPr>
        <w:t>管理体系</w:t>
      </w:r>
      <w:r>
        <w:rPr>
          <w:rFonts w:hint="eastAsia" w:ascii="宋体" w:hAnsi="宋体"/>
          <w:b w:val="0"/>
          <w:color w:val="auto"/>
          <w:sz w:val="24"/>
          <w:highlight w:val="yellow"/>
          <w:lang w:val="en-US" w:eastAsia="zh-CN"/>
        </w:rPr>
        <w:t xml:space="preserve"> </w:t>
      </w:r>
      <w:r>
        <w:rPr>
          <w:rFonts w:hint="eastAsia" w:ascii="宋体" w:hAnsi="宋体"/>
          <w:b w:val="0"/>
          <w:color w:val="auto"/>
          <w:sz w:val="24"/>
          <w:highlight w:val="yellow"/>
          <w:lang w:eastAsia="zh-CN"/>
        </w:rPr>
        <w:t>要求</w:t>
      </w:r>
      <w:r>
        <w:rPr>
          <w:rFonts w:hint="eastAsia" w:ascii="宋体" w:hAnsi="宋体"/>
          <w:sz w:val="24"/>
          <w:highlight w:val="yellow"/>
        </w:rPr>
        <w:t>》</w:t>
      </w:r>
      <w:r>
        <w:rPr>
          <w:rFonts w:hint="eastAsia" w:ascii="宋体" w:hAnsi="宋体"/>
          <w:sz w:val="24"/>
          <w:highlight w:val="none"/>
          <w:lang w:eastAsia="zh-CN"/>
        </w:rPr>
        <w:t>。</w:t>
      </w:r>
    </w:p>
    <w:p w14:paraId="5FAC4906">
      <w:pPr>
        <w:spacing w:line="360" w:lineRule="auto"/>
        <w:ind w:firstLine="480" w:firstLineChars="200"/>
        <w:rPr>
          <w:rFonts w:hint="eastAsia" w:ascii="宋体" w:hAnsi="宋体"/>
          <w:sz w:val="24"/>
          <w:highlight w:val="none"/>
        </w:rPr>
      </w:pPr>
      <w:r>
        <w:rPr>
          <w:rFonts w:hint="eastAsia" w:ascii="宋体" w:hAnsi="宋体"/>
          <w:sz w:val="24"/>
          <w:highlight w:val="none"/>
        </w:rPr>
        <w:t>CQM首先对受审核方的管理体系进行初次审核，经过评定，确认是否批准认证；通过认证之后，在认证证书的有效期内对获证客户的管理体系进行监督，确认是否持续满足认证要求。</w:t>
      </w:r>
    </w:p>
    <w:p w14:paraId="4E4790DE">
      <w:pPr>
        <w:spacing w:line="360" w:lineRule="auto"/>
        <w:ind w:firstLine="480" w:firstLineChars="200"/>
        <w:rPr>
          <w:rFonts w:hint="eastAsia" w:ascii="宋体" w:hAnsi="宋体"/>
          <w:sz w:val="24"/>
          <w:highlight w:val="none"/>
        </w:rPr>
      </w:pPr>
    </w:p>
    <w:p w14:paraId="494B1D61">
      <w:pPr>
        <w:pStyle w:val="2"/>
        <w:spacing w:line="360" w:lineRule="auto"/>
        <w:rPr>
          <w:rFonts w:hint="eastAsia" w:ascii="宋体" w:hAnsi="宋体"/>
          <w:szCs w:val="24"/>
          <w:highlight w:val="none"/>
          <w:lang w:eastAsia="zh-CN"/>
        </w:rPr>
      </w:pPr>
      <w:bookmarkStart w:id="33" w:name="_Toc185325624"/>
      <w:bookmarkStart w:id="34" w:name="_Toc85105513"/>
      <w:bookmarkStart w:id="35" w:name="_Toc444776329"/>
      <w:bookmarkStart w:id="36" w:name="_Toc14933"/>
      <w:bookmarkStart w:id="37" w:name="_Toc85256249"/>
      <w:bookmarkStart w:id="38" w:name="_Toc25807"/>
      <w:bookmarkStart w:id="39" w:name="_Toc85103624"/>
      <w:r>
        <w:rPr>
          <w:rFonts w:hint="eastAsia" w:ascii="宋体" w:hAnsi="宋体"/>
          <w:szCs w:val="24"/>
          <w:highlight w:val="none"/>
        </w:rPr>
        <w:t>3 认证过程流程图</w:t>
      </w:r>
      <w:bookmarkEnd w:id="33"/>
      <w:bookmarkEnd w:id="34"/>
      <w:bookmarkEnd w:id="35"/>
      <w:bookmarkEnd w:id="36"/>
      <w:bookmarkEnd w:id="37"/>
      <w:bookmarkEnd w:id="38"/>
      <w:bookmarkEnd w:id="39"/>
    </w:p>
    <w:p w14:paraId="048FF575">
      <w:pPr>
        <w:spacing w:line="360" w:lineRule="auto"/>
        <w:rPr>
          <w:rFonts w:hint="eastAsia" w:ascii="宋体" w:hAnsi="宋体"/>
          <w:sz w:val="24"/>
          <w:highlight w:val="none"/>
        </w:rPr>
      </w:pPr>
      <w:r>
        <w:rPr>
          <w:rFonts w:ascii="宋体" w:hAnsi="宋体"/>
          <w:sz w:val="24"/>
          <w:highlight w:val="none"/>
        </w:rPr>
        <w:pict>
          <v:shape id="_x0000_s1027" o:spid="_x0000_s1027" o:spt="75" type="#_x0000_t75" style="position:absolute;left:0pt;margin-left:94.05pt;margin-top:13.2pt;height:286pt;width:226.5pt;z-index:251662336;mso-width-relative:page;mso-height-relative:page;" o:ole="t" filled="f" o:preferrelative="t" stroked="f" coordsize="21600,21600">
            <v:path/>
            <v:fill on="f" alignshape="1" focussize="0,0"/>
            <v:stroke on="f"/>
            <v:imagedata r:id="rId12" grayscale="f" bilevel="f" o:title=""/>
            <o:lock v:ext="edit" aspectratio="t"/>
          </v:shape>
          <o:OLEObject Type="Embed" ProgID="" ShapeID="_x0000_s1027" DrawAspect="Content" ObjectID="_1468075725" r:id="rId11">
            <o:LockedField>false</o:LockedField>
          </o:OLEObject>
        </w:pict>
      </w:r>
    </w:p>
    <w:p w14:paraId="4E62F370">
      <w:pPr>
        <w:spacing w:line="360" w:lineRule="auto"/>
        <w:rPr>
          <w:rFonts w:hint="eastAsia" w:ascii="宋体" w:hAnsi="宋体"/>
          <w:sz w:val="24"/>
          <w:highlight w:val="none"/>
        </w:rPr>
      </w:pPr>
    </w:p>
    <w:p w14:paraId="08189B60">
      <w:pPr>
        <w:spacing w:line="360" w:lineRule="auto"/>
        <w:rPr>
          <w:rFonts w:hint="eastAsia" w:ascii="宋体" w:hAnsi="宋体"/>
          <w:sz w:val="24"/>
          <w:highlight w:val="none"/>
        </w:rPr>
      </w:pPr>
    </w:p>
    <w:p w14:paraId="17DFF672">
      <w:pPr>
        <w:spacing w:line="360" w:lineRule="auto"/>
        <w:rPr>
          <w:rFonts w:hint="eastAsia" w:ascii="宋体" w:hAnsi="宋体"/>
          <w:sz w:val="24"/>
          <w:highlight w:val="none"/>
        </w:rPr>
      </w:pPr>
    </w:p>
    <w:p w14:paraId="496B5168">
      <w:pPr>
        <w:spacing w:line="360" w:lineRule="auto"/>
        <w:rPr>
          <w:rFonts w:hint="eastAsia" w:ascii="宋体" w:hAnsi="宋体"/>
          <w:sz w:val="24"/>
          <w:highlight w:val="none"/>
        </w:rPr>
      </w:pPr>
    </w:p>
    <w:p w14:paraId="6C247681">
      <w:pPr>
        <w:spacing w:line="360" w:lineRule="auto"/>
        <w:rPr>
          <w:rFonts w:hint="eastAsia" w:ascii="宋体" w:hAnsi="宋体"/>
          <w:sz w:val="24"/>
          <w:highlight w:val="none"/>
        </w:rPr>
      </w:pPr>
    </w:p>
    <w:p w14:paraId="483FE068">
      <w:pPr>
        <w:spacing w:line="360" w:lineRule="auto"/>
        <w:rPr>
          <w:rFonts w:hint="eastAsia" w:ascii="宋体" w:hAnsi="宋体"/>
          <w:sz w:val="24"/>
          <w:highlight w:val="none"/>
        </w:rPr>
      </w:pPr>
    </w:p>
    <w:p w14:paraId="2F0AEF0A">
      <w:pPr>
        <w:spacing w:line="360" w:lineRule="auto"/>
        <w:rPr>
          <w:rFonts w:hint="eastAsia" w:ascii="宋体" w:hAnsi="宋体"/>
          <w:sz w:val="24"/>
          <w:highlight w:val="none"/>
        </w:rPr>
      </w:pPr>
    </w:p>
    <w:p w14:paraId="46211507">
      <w:pPr>
        <w:spacing w:line="360" w:lineRule="auto"/>
        <w:rPr>
          <w:rFonts w:hint="eastAsia" w:ascii="宋体" w:hAnsi="宋体"/>
          <w:sz w:val="24"/>
          <w:highlight w:val="none"/>
        </w:rPr>
      </w:pPr>
    </w:p>
    <w:p w14:paraId="03B560E7">
      <w:pPr>
        <w:spacing w:line="360" w:lineRule="auto"/>
        <w:rPr>
          <w:rFonts w:hint="eastAsia" w:ascii="宋体" w:hAnsi="宋体"/>
          <w:sz w:val="24"/>
          <w:highlight w:val="none"/>
        </w:rPr>
      </w:pPr>
    </w:p>
    <w:p w14:paraId="67C0BE5B">
      <w:pPr>
        <w:spacing w:line="360" w:lineRule="auto"/>
        <w:rPr>
          <w:rFonts w:hint="eastAsia" w:ascii="宋体" w:hAnsi="宋体"/>
          <w:sz w:val="24"/>
          <w:highlight w:val="none"/>
        </w:rPr>
      </w:pPr>
    </w:p>
    <w:p w14:paraId="4B06655E">
      <w:pPr>
        <w:spacing w:line="360" w:lineRule="auto"/>
        <w:rPr>
          <w:rFonts w:hint="eastAsia" w:ascii="宋体" w:hAnsi="宋体"/>
          <w:sz w:val="24"/>
          <w:highlight w:val="none"/>
        </w:rPr>
      </w:pPr>
    </w:p>
    <w:p w14:paraId="6B2D59E7">
      <w:pPr>
        <w:spacing w:line="360" w:lineRule="auto"/>
        <w:rPr>
          <w:rFonts w:hint="eastAsia" w:ascii="宋体" w:hAnsi="宋体"/>
          <w:sz w:val="24"/>
          <w:highlight w:val="none"/>
        </w:rPr>
      </w:pPr>
    </w:p>
    <w:p w14:paraId="470D7D80">
      <w:pPr>
        <w:pStyle w:val="2"/>
        <w:spacing w:line="360" w:lineRule="auto"/>
        <w:rPr>
          <w:rFonts w:hint="eastAsia"/>
          <w:highlight w:val="none"/>
          <w:lang w:val="en-US" w:eastAsia="zh-CN"/>
        </w:rPr>
      </w:pPr>
      <w:bookmarkStart w:id="40" w:name="_Toc4072"/>
      <w:bookmarkStart w:id="41" w:name="_Toc4439"/>
      <w:bookmarkStart w:id="42" w:name="_Toc33598532"/>
      <w:bookmarkStart w:id="43" w:name="_Toc85105514"/>
      <w:bookmarkStart w:id="44" w:name="_Toc33599578"/>
      <w:bookmarkStart w:id="45" w:name="_Toc85256250"/>
      <w:bookmarkStart w:id="46" w:name="_Toc33600412"/>
      <w:bookmarkStart w:id="47" w:name="_Toc85103625"/>
      <w:bookmarkStart w:id="48" w:name="_Toc33599705"/>
      <w:bookmarkStart w:id="49" w:name="_Toc444776330"/>
      <w:bookmarkStart w:id="50" w:name="_Toc185325625"/>
      <w:bookmarkStart w:id="51" w:name="_Toc33598903"/>
      <w:bookmarkStart w:id="52" w:name="_Toc33600363"/>
      <w:bookmarkStart w:id="53" w:name="_Toc33598963"/>
      <w:r>
        <w:rPr>
          <w:rFonts w:hint="eastAsia" w:ascii="宋体" w:hAnsi="宋体"/>
          <w:szCs w:val="24"/>
          <w:highlight w:val="none"/>
        </w:rPr>
        <w:t>4 认证申请</w:t>
      </w:r>
      <w:r>
        <w:rPr>
          <w:rFonts w:hint="eastAsia"/>
          <w:highlight w:val="none"/>
          <w:lang w:val="en-US" w:eastAsia="zh-CN"/>
        </w:rPr>
        <w:t>及评审</w:t>
      </w:r>
      <w:bookmarkEnd w:id="40"/>
      <w:bookmarkEnd w:id="41"/>
    </w:p>
    <w:p w14:paraId="29DE0A45">
      <w:pPr>
        <w:bidi w:val="0"/>
        <w:rPr>
          <w:rFonts w:hint="eastAsia"/>
          <w:sz w:val="24"/>
          <w:szCs w:val="24"/>
          <w:lang w:eastAsia="zh-CN"/>
        </w:rPr>
      </w:pPr>
      <w:bookmarkStart w:id="54" w:name="_Toc30865"/>
      <w:bookmarkStart w:id="55" w:name="_Toc16397"/>
      <w:bookmarkStart w:id="56" w:name="_Toc28567"/>
      <w:bookmarkStart w:id="57" w:name="_Toc4837"/>
      <w:bookmarkStart w:id="58" w:name="_Toc28466"/>
      <w:bookmarkStart w:id="59" w:name="_Toc3411"/>
      <w:r>
        <w:rPr>
          <w:rFonts w:hint="eastAsia"/>
          <w:sz w:val="24"/>
          <w:szCs w:val="24"/>
          <w:lang w:val="en-US" w:eastAsia="zh-CN"/>
        </w:rPr>
        <w:t>4.1 申请条件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C8821D6">
      <w:pPr>
        <w:spacing w:line="360" w:lineRule="auto"/>
        <w:ind w:firstLine="480" w:firstLineChars="200"/>
        <w:rPr>
          <w:rFonts w:hint="eastAsia" w:ascii="宋体" w:hAnsi="宋体"/>
          <w:color w:val="000000"/>
          <w:sz w:val="24"/>
          <w:highlight w:val="yellow"/>
          <w:lang w:val="en-US" w:eastAsia="zh-CN"/>
        </w:rPr>
      </w:pPr>
      <w:bookmarkStart w:id="60" w:name="_Toc1024"/>
      <w:r>
        <w:rPr>
          <w:rFonts w:hint="eastAsia" w:ascii="宋体" w:hAnsi="宋体"/>
          <w:color w:val="000000"/>
          <w:sz w:val="24"/>
          <w:highlight w:val="yellow"/>
          <w:lang w:val="en-US" w:eastAsia="zh-CN"/>
        </w:rPr>
        <w:t>（1）取得</w:t>
      </w:r>
      <w:bookmarkStart w:id="61" w:name="OLE_LINK3"/>
      <w:r>
        <w:rPr>
          <w:rFonts w:hint="eastAsia" w:ascii="宋体" w:hAnsi="宋体"/>
          <w:color w:val="000000"/>
          <w:sz w:val="24"/>
          <w:highlight w:val="yellow"/>
          <w:lang w:val="en-US" w:eastAsia="zh-CN"/>
        </w:rPr>
        <w:t>合法主体资格</w:t>
      </w:r>
      <w:bookmarkEnd w:id="61"/>
      <w:r>
        <w:rPr>
          <w:rFonts w:hint="eastAsia" w:ascii="宋体" w:hAnsi="宋体"/>
          <w:color w:val="000000"/>
          <w:sz w:val="24"/>
          <w:highlight w:val="yellow"/>
          <w:lang w:val="en-US" w:eastAsia="zh-CN"/>
        </w:rPr>
        <w:t>，并处于有效期内；</w:t>
      </w:r>
    </w:p>
    <w:p w14:paraId="09EB8E27">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（2）取得相关法律法规规定的行政许可（适用时），并处于有效期内；</w:t>
      </w:r>
    </w:p>
    <w:p w14:paraId="4812909D">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（3）已按认证标准建立管理体系，且运行满三个月；</w:t>
      </w:r>
    </w:p>
    <w:p w14:paraId="1B9C0ECD">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（4）因获证组织自身原因被原发证机构暂停、注销或撤销认证证书已满一年（适用时）；</w:t>
      </w:r>
    </w:p>
    <w:p w14:paraId="02794A91">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（5）原ISMS认证证书发证机构被国家认监委撤销ISMS认证资质已满三个月（适用时）；</w:t>
      </w:r>
    </w:p>
    <w:p w14:paraId="217358C3">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（6）当前未被行政监管部门责令停产停业整顿；</w:t>
      </w:r>
    </w:p>
    <w:p w14:paraId="7999BB32">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（7）当前未列入“国家企业信用信息公示系统”和“信用中国”发布的严重违法失信名单；</w:t>
      </w:r>
    </w:p>
    <w:p w14:paraId="554FA577">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（8）一年内未发生重大及以上级别的网络安全事件；</w:t>
      </w:r>
    </w:p>
    <w:p w14:paraId="76F4A79F">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注：网络安全事件级别依据GB/T 20986判定。</w:t>
      </w:r>
    </w:p>
    <w:p w14:paraId="35CFD73C">
      <w:pPr>
        <w:numPr>
          <w:ilvl w:val="0"/>
          <w:numId w:val="1"/>
        </w:num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其他应具备的条件。</w:t>
      </w:r>
    </w:p>
    <w:p w14:paraId="1262E827">
      <w:pPr>
        <w:spacing w:line="360" w:lineRule="auto"/>
        <w:outlineLvl w:val="1"/>
        <w:rPr>
          <w:rFonts w:hint="eastAsia" w:ascii="Arial" w:hAnsi="Arial" w:cs="Arial"/>
          <w:color w:val="000000"/>
          <w:sz w:val="24"/>
          <w:highlight w:val="yellow"/>
          <w:lang w:val="en-US" w:eastAsia="zh-CN"/>
        </w:rPr>
      </w:pPr>
      <w:r>
        <w:rPr>
          <w:rFonts w:hint="eastAsia" w:ascii="Arial" w:hAnsi="Arial" w:cs="Arial"/>
          <w:color w:val="000000"/>
          <w:sz w:val="24"/>
          <w:highlight w:val="yellow"/>
          <w:lang w:val="en-US" w:eastAsia="zh-CN"/>
        </w:rPr>
        <w:t>4.2 申请资料</w:t>
      </w:r>
    </w:p>
    <w:p w14:paraId="26E82F16">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（1）认证申请，包括认证委托人的名称、地址、认证依据的标准、申请的认证范围、认证范围内人员数量及影响体系有效性的外包过程；</w:t>
      </w:r>
    </w:p>
    <w:p w14:paraId="5D02F751">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（2）法律地位的证明文件，当ISMS覆盖多个法律实体时，应提供每个法律实体的法律地位证明文件；</w:t>
      </w:r>
    </w:p>
    <w:p w14:paraId="0E3CAAEA">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（3）申请认证范围所涉及的网络安全法律法规要求的行政许可文件、资质证书等（适用时）；</w:t>
      </w:r>
    </w:p>
    <w:p w14:paraId="08BF232C">
      <w:pPr>
        <w:spacing w:line="360" w:lineRule="auto"/>
        <w:ind w:firstLine="480" w:firstLineChars="200"/>
        <w:rPr>
          <w:rFonts w:hint="eastAsia" w:ascii="宋体" w:hAnsi="宋体"/>
          <w:color w:val="000000"/>
          <w:sz w:val="24"/>
          <w:highlight w:val="yellow"/>
          <w:lang w:val="en-US" w:eastAsia="zh-CN"/>
        </w:rPr>
      </w:pPr>
      <w:bookmarkStart w:id="62" w:name="_Hlk156405587"/>
      <w:r>
        <w:rPr>
          <w:rFonts w:hint="eastAsia" w:ascii="宋体" w:hAnsi="宋体"/>
          <w:color w:val="000000"/>
          <w:sz w:val="24"/>
          <w:highlight w:val="yellow"/>
          <w:lang w:val="en-US" w:eastAsia="zh-CN"/>
        </w:rPr>
        <w:t>（4）组织机构及职责；</w:t>
      </w:r>
    </w:p>
    <w:p w14:paraId="14D5AE55">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（5）生产/服务的流程、班次及轮班情况；</w:t>
      </w:r>
    </w:p>
    <w:p w14:paraId="4D9244F6">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（6）ISMS运行满三个月的证据；</w:t>
      </w:r>
    </w:p>
    <w:p w14:paraId="573BB802">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（7）一年内所发生的与网络安全相关的行政处罚以及整改情况（适用时）；</w:t>
      </w:r>
    </w:p>
    <w:p w14:paraId="0C835D25">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（8）其他需要提供的文件。</w:t>
      </w:r>
    </w:p>
    <w:bookmarkEnd w:id="62"/>
    <w:p w14:paraId="240DBA43">
      <w:pPr>
        <w:spacing w:line="360" w:lineRule="auto"/>
        <w:outlineLvl w:val="1"/>
        <w:rPr>
          <w:rFonts w:hint="default" w:ascii="Arial" w:hAnsi="Arial" w:cs="Arial"/>
          <w:color w:val="000000"/>
          <w:sz w:val="24"/>
          <w:highlight w:val="none"/>
          <w:lang w:val="en-US" w:eastAsia="zh-CN"/>
        </w:rPr>
      </w:pPr>
    </w:p>
    <w:p w14:paraId="34ED0D55">
      <w:pPr>
        <w:spacing w:line="360" w:lineRule="auto"/>
        <w:outlineLvl w:val="1"/>
        <w:rPr>
          <w:rFonts w:hint="eastAsia" w:ascii="Arial" w:hAnsi="Arial" w:cs="Arial"/>
          <w:color w:val="000000"/>
          <w:sz w:val="24"/>
          <w:highlight w:val="none"/>
          <w:lang w:val="en-US" w:eastAsia="zh-CN"/>
        </w:rPr>
      </w:pPr>
      <w:r>
        <w:rPr>
          <w:rFonts w:hint="eastAsia" w:ascii="Arial" w:hAnsi="Arial" w:cs="Arial"/>
          <w:color w:val="000000"/>
          <w:sz w:val="24"/>
          <w:highlight w:val="none"/>
          <w:lang w:val="en-US" w:eastAsia="zh-CN"/>
        </w:rPr>
        <w:t>4.3申请评审</w:t>
      </w:r>
      <w:bookmarkEnd w:id="60"/>
    </w:p>
    <w:p w14:paraId="4FCB4456">
      <w:pPr>
        <w:spacing w:line="360"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符合以下条件时，可受理认证申请：</w:t>
      </w:r>
    </w:p>
    <w:p w14:paraId="0208B29E">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a）</w:t>
      </w:r>
      <w:r>
        <w:rPr>
          <w:rFonts w:hint="eastAsia" w:ascii="宋体" w:hAnsi="宋体"/>
          <w:color w:val="000000"/>
          <w:sz w:val="24"/>
          <w:highlight w:val="none"/>
        </w:rPr>
        <w:t>认证客户</w:t>
      </w:r>
      <w:r>
        <w:rPr>
          <w:rFonts w:hint="eastAsia" w:ascii="宋体" w:hAnsi="宋体"/>
          <w:color w:val="000000"/>
          <w:sz w:val="24"/>
          <w:highlight w:val="none"/>
          <w:lang w:val="en-US" w:eastAsia="zh-CN"/>
        </w:rPr>
        <w:t>满足4.1的要求可受理认证申请；</w:t>
      </w:r>
    </w:p>
    <w:p w14:paraId="57C68DDA">
      <w:pPr>
        <w:spacing w:line="360" w:lineRule="auto"/>
        <w:rPr>
          <w:rFonts w:hint="eastAsia" w:ascii="宋体" w:hAnsi="宋体" w:cs="Times New Roman"/>
          <w:color w:val="000000"/>
          <w:sz w:val="24"/>
          <w:szCs w:val="24"/>
          <w:highlight w:val="none"/>
          <w:lang w:eastAsia="zh-CN"/>
        </w:rPr>
      </w:pPr>
      <w:r>
        <w:rPr>
          <w:rFonts w:hint="eastAsia" w:ascii="宋体" w:hAnsi="宋体" w:cs="Times New Roman"/>
          <w:color w:val="000000"/>
          <w:sz w:val="24"/>
          <w:szCs w:val="24"/>
          <w:highlight w:val="none"/>
          <w:lang w:val="en-US" w:eastAsia="zh-CN"/>
        </w:rPr>
        <w:t>b）CQM</w:t>
      </w:r>
      <w:r>
        <w:rPr>
          <w:rFonts w:hint="eastAsia" w:ascii="宋体" w:hAnsi="宋体" w:eastAsia="宋体" w:cs="Times New Roman"/>
          <w:color w:val="000000"/>
          <w:sz w:val="24"/>
          <w:szCs w:val="24"/>
          <w:highlight w:val="none"/>
        </w:rPr>
        <w:t>具备实施认证的能力</w:t>
      </w:r>
      <w:r>
        <w:rPr>
          <w:rFonts w:hint="eastAsia" w:ascii="宋体" w:hAnsi="宋体" w:cs="Times New Roman"/>
          <w:color w:val="000000"/>
          <w:sz w:val="24"/>
          <w:szCs w:val="24"/>
          <w:highlight w:val="none"/>
          <w:lang w:eastAsia="zh-CN"/>
        </w:rPr>
        <w:t>；</w:t>
      </w:r>
    </w:p>
    <w:p w14:paraId="43BFAFCF">
      <w:pPr>
        <w:spacing w:line="360" w:lineRule="auto"/>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c）CQM与认证客户就相关事宜达成一致。</w:t>
      </w:r>
      <w:bookmarkStart w:id="63" w:name="_Toc3502"/>
      <w:bookmarkStart w:id="64" w:name="_Toc9070"/>
      <w:bookmarkStart w:id="65" w:name="_Toc31362"/>
      <w:bookmarkStart w:id="66" w:name="_Toc26933"/>
      <w:bookmarkStart w:id="67" w:name="_Toc12267"/>
      <w:bookmarkStart w:id="68" w:name="_Toc1729"/>
      <w:bookmarkStart w:id="69" w:name="_Toc32057"/>
      <w:bookmarkStart w:id="70" w:name="_Toc22070"/>
    </w:p>
    <w:p w14:paraId="5AA4F6A8">
      <w:pPr>
        <w:pStyle w:val="2"/>
        <w:spacing w:line="480" w:lineRule="auto"/>
        <w:rPr>
          <w:rFonts w:hint="default" w:ascii="Times New Roman" w:hAnsi="Times New Roman" w:eastAsia="宋体" w:cs="Times New Roman"/>
          <w:b/>
          <w:bCs/>
          <w:kern w:val="44"/>
          <w:sz w:val="24"/>
          <w:szCs w:val="44"/>
          <w:highlight w:val="yellow"/>
          <w:lang w:val="en-US" w:eastAsia="zh-CN" w:bidi="ar"/>
        </w:rPr>
      </w:pPr>
      <w:bookmarkStart w:id="71" w:name="_Toc13708"/>
      <w:bookmarkStart w:id="72" w:name="_Toc6972"/>
      <w:r>
        <w:rPr>
          <w:rFonts w:hint="default" w:ascii="Times New Roman" w:hAnsi="Times New Roman" w:cs="Times New Roman"/>
          <w:sz w:val="24"/>
          <w:szCs w:val="44"/>
          <w:highlight w:val="yellow"/>
          <w:lang w:val="en-US" w:eastAsia="zh-CN"/>
        </w:rPr>
        <w:t xml:space="preserve">5 </w:t>
      </w:r>
      <w:r>
        <w:rPr>
          <w:rFonts w:hint="default" w:ascii="Times New Roman" w:hAnsi="Times New Roman" w:eastAsia="宋体" w:cs="Times New Roman"/>
          <w:b/>
          <w:bCs/>
          <w:kern w:val="44"/>
          <w:sz w:val="24"/>
          <w:szCs w:val="44"/>
          <w:highlight w:val="yellow"/>
          <w:lang w:val="en-US" w:eastAsia="zh-CN" w:bidi="ar"/>
        </w:rPr>
        <w:t>认证合同</w:t>
      </w:r>
      <w:bookmarkEnd w:id="71"/>
      <w:bookmarkEnd w:id="72"/>
      <w:r>
        <w:rPr>
          <w:rFonts w:hint="default" w:ascii="Times New Roman" w:hAnsi="Times New Roman" w:eastAsia="宋体" w:cs="Times New Roman"/>
          <w:b/>
          <w:bCs/>
          <w:kern w:val="44"/>
          <w:sz w:val="24"/>
          <w:szCs w:val="44"/>
          <w:highlight w:val="yellow"/>
          <w:lang w:val="en-US" w:eastAsia="zh-CN" w:bidi="ar"/>
        </w:rPr>
        <w:t xml:space="preserve"> </w:t>
      </w:r>
    </w:p>
    <w:p w14:paraId="17E07DC9">
      <w:pPr>
        <w:keepNext w:val="0"/>
        <w:keepLines w:val="0"/>
        <w:widowControl/>
        <w:suppressLineNumbers w:val="0"/>
        <w:spacing w:line="360" w:lineRule="auto"/>
        <w:ind w:firstLine="0" w:firstLineChars="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5.1认证合同应由申请认证的组织与CQM直接签订。</w:t>
      </w:r>
    </w:p>
    <w:p w14:paraId="377AB159">
      <w:pPr>
        <w:spacing w:line="360" w:lineRule="auto"/>
        <w:rPr>
          <w:rFonts w:hint="eastAsia" w:ascii="宋体" w:hAnsi="宋体"/>
          <w:color w:val="auto"/>
          <w:highlight w:val="none"/>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5.2认证费用应由申请认证的组织/获证组织或其上级单位向CQM直接支付。</w:t>
      </w:r>
    </w:p>
    <w:p w14:paraId="256ADBE8">
      <w:pPr>
        <w:pStyle w:val="2"/>
        <w:bidi w:val="0"/>
        <w:spacing w:line="480" w:lineRule="auto"/>
        <w:rPr>
          <w:rFonts w:hint="default"/>
          <w:lang w:val="en-US" w:eastAsia="zh-CN"/>
        </w:rPr>
      </w:pPr>
      <w:bookmarkStart w:id="73" w:name="_Toc7366"/>
      <w:r>
        <w:rPr>
          <w:rFonts w:hint="eastAsia"/>
          <w:lang w:val="en-US" w:eastAsia="zh-CN"/>
        </w:rPr>
        <w:t xml:space="preserve">6 </w:t>
      </w:r>
      <w:bookmarkEnd w:id="63"/>
      <w:bookmarkEnd w:id="64"/>
      <w:bookmarkEnd w:id="65"/>
      <w:r>
        <w:rPr>
          <w:rFonts w:hint="eastAsia"/>
          <w:lang w:val="en-US" w:eastAsia="zh-CN"/>
        </w:rPr>
        <w:t>审核方案策划</w:t>
      </w:r>
      <w:bookmarkEnd w:id="66"/>
      <w:bookmarkEnd w:id="67"/>
      <w:bookmarkEnd w:id="68"/>
      <w:bookmarkEnd w:id="69"/>
      <w:bookmarkEnd w:id="70"/>
      <w:bookmarkEnd w:id="73"/>
    </w:p>
    <w:p w14:paraId="557BB5BA">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6.1 CQM</w:t>
      </w:r>
      <w:r>
        <w:rPr>
          <w:rFonts w:hint="eastAsia" w:ascii="宋体" w:hAnsi="宋体" w:cs="宋体"/>
          <w:color w:val="auto"/>
          <w:sz w:val="24"/>
          <w:highlight w:val="none"/>
        </w:rPr>
        <w:t>根据每一个认证项目的申请信息，认证服务合同和审核目的，为每一个认证项目的整个认证周期进行策划和建立审核方案（包括结合审核方案）。</w:t>
      </w:r>
    </w:p>
    <w:p w14:paraId="4F41DB90">
      <w:pPr>
        <w:spacing w:line="360" w:lineRule="auto"/>
        <w:rPr>
          <w:rFonts w:hint="eastAsia"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 xml:space="preserve">.2 </w:t>
      </w:r>
      <w:r>
        <w:rPr>
          <w:rFonts w:hint="eastAsia" w:ascii="宋体" w:hAnsi="宋体" w:cs="宋体"/>
          <w:color w:val="auto"/>
          <w:sz w:val="24"/>
          <w:highlight w:val="none"/>
        </w:rPr>
        <w:t>一个完整的认证周期审核方案包括两阶段初次审核（或再认证审核）、第一年与第二年的监督审核和第三年再认证到期前进行的再认证审核。第一个三年的认证周期从初次认证决定算起，以后的周期从再认证决定算起。</w:t>
      </w:r>
    </w:p>
    <w:p w14:paraId="2CFAFFD9">
      <w:pPr>
        <w:widowControl/>
        <w:spacing w:line="360" w:lineRule="auto"/>
        <w:jc w:val="left"/>
        <w:rPr>
          <w:rFonts w:ascii="宋体" w:hAnsi="宋体" w:cs="宋体"/>
          <w:color w:val="auto"/>
          <w:kern w:val="0"/>
          <w:sz w:val="24"/>
          <w:highlight w:val="yellow"/>
        </w:rPr>
      </w:pPr>
      <w:r>
        <w:rPr>
          <w:rFonts w:hint="eastAsia" w:ascii="宋体" w:hAnsi="宋体"/>
          <w:color w:val="auto"/>
          <w:sz w:val="24"/>
          <w:highlight w:val="none"/>
          <w:lang w:val="en-US" w:eastAsia="zh-CN"/>
        </w:rPr>
        <w:t>6</w:t>
      </w:r>
      <w:r>
        <w:rPr>
          <w:rFonts w:hint="eastAsia" w:ascii="宋体" w:hAnsi="宋体"/>
          <w:color w:val="auto"/>
          <w:sz w:val="24"/>
          <w:highlight w:val="none"/>
        </w:rPr>
        <w:t>.3 初审/再认证后的第一次监督审核应在</w:t>
      </w:r>
      <w:r>
        <w:rPr>
          <w:rFonts w:hint="eastAsia" w:ascii="宋体" w:hAnsi="宋体"/>
          <w:color w:val="auto"/>
          <w:sz w:val="24"/>
          <w:highlight w:val="yellow"/>
          <w:lang w:val="en-US" w:eastAsia="zh-CN"/>
        </w:rPr>
        <w:t>证书签发</w:t>
      </w:r>
      <w:r>
        <w:rPr>
          <w:rFonts w:hint="eastAsia" w:ascii="宋体" w:hAnsi="宋体"/>
          <w:color w:val="auto"/>
          <w:sz w:val="24"/>
          <w:highlight w:val="none"/>
        </w:rPr>
        <w:t>日期起</w:t>
      </w:r>
      <w:r>
        <w:rPr>
          <w:rFonts w:ascii="宋体" w:hAnsi="宋体" w:cs="Arial"/>
          <w:color w:val="auto"/>
          <w:sz w:val="24"/>
          <w:highlight w:val="none"/>
        </w:rPr>
        <w:t>12</w:t>
      </w:r>
      <w:r>
        <w:rPr>
          <w:rFonts w:hint="eastAsia" w:ascii="宋体" w:hAnsi="宋体"/>
          <w:color w:val="auto"/>
          <w:sz w:val="24"/>
          <w:highlight w:val="none"/>
        </w:rPr>
        <w:t>个月内进行；</w:t>
      </w:r>
      <w:r>
        <w:rPr>
          <w:rFonts w:hint="eastAsia" w:ascii="宋体" w:hAnsi="宋体" w:cs="宋体"/>
          <w:color w:val="auto"/>
          <w:kern w:val="0"/>
          <w:sz w:val="24"/>
          <w:highlight w:val="none"/>
        </w:rPr>
        <w:t>此后，监督审核间隔不得超过</w:t>
      </w:r>
      <w:r>
        <w:rPr>
          <w:rFonts w:hint="eastAsia" w:ascii="宋体" w:hAnsi="宋体" w:cs="宋体"/>
          <w:color w:val="auto"/>
          <w:kern w:val="0"/>
          <w:sz w:val="24"/>
          <w:highlight w:val="yellow"/>
        </w:rPr>
        <w:t>1</w:t>
      </w:r>
      <w:r>
        <w:rPr>
          <w:rFonts w:hint="eastAsia" w:ascii="宋体" w:hAnsi="宋体" w:cs="宋体"/>
          <w:color w:val="auto"/>
          <w:kern w:val="0"/>
          <w:sz w:val="24"/>
          <w:highlight w:val="yellow"/>
          <w:lang w:val="en-US" w:eastAsia="zh-CN"/>
        </w:rPr>
        <w:t>2</w:t>
      </w:r>
      <w:r>
        <w:rPr>
          <w:rFonts w:hint="eastAsia" w:ascii="宋体" w:hAnsi="宋体" w:cs="宋体"/>
          <w:color w:val="auto"/>
          <w:kern w:val="0"/>
          <w:sz w:val="24"/>
          <w:highlight w:val="none"/>
        </w:rPr>
        <w:t>个月</w:t>
      </w:r>
      <w:r>
        <w:rPr>
          <w:rFonts w:hint="eastAsia" w:ascii="宋体" w:hAnsi="宋体" w:cs="宋体"/>
          <w:color w:val="auto"/>
          <w:kern w:val="0"/>
          <w:sz w:val="24"/>
          <w:highlight w:val="none"/>
          <w:lang w:eastAsia="zh-CN"/>
        </w:rPr>
        <w:t>，</w:t>
      </w:r>
      <w:r>
        <w:rPr>
          <w:rFonts w:hint="eastAsia" w:ascii="宋体" w:hAnsi="宋体"/>
          <w:color w:val="auto"/>
          <w:sz w:val="24"/>
          <w:highlight w:val="yellow"/>
        </w:rPr>
        <w:t>监督审核应至少每个日历年（应进行再认证的年份除外）进行一次。</w:t>
      </w:r>
      <w:r>
        <w:rPr>
          <w:rFonts w:hint="eastAsia" w:ascii="宋体" w:hAnsi="宋体" w:cs="宋体"/>
          <w:color w:val="auto"/>
          <w:kern w:val="0"/>
          <w:sz w:val="24"/>
          <w:highlight w:val="yellow"/>
        </w:rPr>
        <w:t xml:space="preserve"> </w:t>
      </w:r>
    </w:p>
    <w:p w14:paraId="248FBD1A">
      <w:pPr>
        <w:bidi w:val="0"/>
        <w:spacing w:line="360" w:lineRule="auto"/>
        <w:rPr>
          <w:rFonts w:hint="eastAsia"/>
          <w:sz w:val="24"/>
          <w:szCs w:val="24"/>
          <w:highlight w:val="yellow"/>
        </w:rPr>
      </w:pPr>
      <w:bookmarkStart w:id="74" w:name="_Toc9465"/>
      <w:bookmarkStart w:id="75" w:name="_Toc530388944"/>
      <w:r>
        <w:rPr>
          <w:rFonts w:hint="eastAsia" w:ascii="宋体" w:hAnsi="宋体"/>
          <w:b w:val="0"/>
          <w:bCs/>
          <w:sz w:val="24"/>
          <w:highlight w:val="yellow"/>
          <w:lang w:val="en-US" w:eastAsia="zh-CN"/>
        </w:rPr>
        <w:t>6.4</w:t>
      </w:r>
      <w:r>
        <w:rPr>
          <w:rFonts w:hint="eastAsia"/>
          <w:sz w:val="24"/>
          <w:szCs w:val="24"/>
          <w:highlight w:val="yellow"/>
        </w:rPr>
        <w:t>多场所组织</w:t>
      </w:r>
      <w:bookmarkEnd w:id="74"/>
      <w:bookmarkEnd w:id="75"/>
    </w:p>
    <w:p w14:paraId="4DD0B749">
      <w:pPr>
        <w:spacing w:line="360" w:lineRule="auto"/>
        <w:rPr>
          <w:rFonts w:hint="eastAsia" w:ascii="宋体" w:hAnsi="宋体"/>
          <w:b w:val="0"/>
          <w:bCs/>
          <w:sz w:val="24"/>
          <w:highlight w:val="yellow"/>
        </w:rPr>
      </w:pPr>
      <w:r>
        <w:rPr>
          <w:rFonts w:hint="eastAsia" w:ascii="宋体" w:hAnsi="宋体"/>
          <w:b w:val="0"/>
          <w:bCs/>
          <w:sz w:val="24"/>
          <w:highlight w:val="yellow"/>
          <w:lang w:val="en-US" w:eastAsia="zh-CN"/>
        </w:rPr>
        <w:t>6</w:t>
      </w:r>
      <w:r>
        <w:rPr>
          <w:rFonts w:hint="eastAsia" w:ascii="宋体" w:hAnsi="宋体"/>
          <w:b w:val="0"/>
          <w:bCs/>
          <w:sz w:val="24"/>
          <w:highlight w:val="yellow"/>
        </w:rPr>
        <w:t>.</w:t>
      </w:r>
      <w:r>
        <w:rPr>
          <w:rFonts w:hint="eastAsia" w:ascii="宋体" w:hAnsi="宋体"/>
          <w:b w:val="0"/>
          <w:bCs/>
          <w:sz w:val="24"/>
          <w:highlight w:val="yellow"/>
          <w:lang w:val="en-US" w:eastAsia="zh-CN"/>
        </w:rPr>
        <w:t>4.1</w:t>
      </w:r>
      <w:r>
        <w:rPr>
          <w:rFonts w:ascii="宋体" w:hAnsi="宋体"/>
          <w:b w:val="0"/>
          <w:bCs/>
          <w:sz w:val="24"/>
          <w:highlight w:val="yellow"/>
        </w:rPr>
        <w:t xml:space="preserve"> 抽样数量 </w:t>
      </w:r>
    </w:p>
    <w:p w14:paraId="6F4001C6">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初次认证审核：样本的数量应为场所数量的平方根（y=</w:t>
      </w:r>
      <w:r>
        <w:rPr>
          <w:rFonts w:ascii="宋体" w:hAnsi="宋体"/>
          <w:position w:val="-8"/>
          <w:sz w:val="24"/>
          <w:highlight w:val="yellow"/>
        </w:rPr>
        <w:object>
          <v:shape id="_x0000_i1025"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6" r:id="rId13">
            <o:LockedField>false</o:LockedField>
          </o:OLEObject>
        </w:object>
      </w:r>
      <w:r>
        <w:rPr>
          <w:rFonts w:ascii="宋体" w:hAnsi="宋体"/>
          <w:sz w:val="24"/>
          <w:highlight w:val="yellow"/>
        </w:rPr>
        <w:t>），计算结果向上取整为最接近的整数，其中y为将抽取场所的数量、x为</w:t>
      </w:r>
      <w:r>
        <w:rPr>
          <w:rFonts w:hint="eastAsia" w:ascii="宋体" w:hAnsi="宋体"/>
          <w:sz w:val="24"/>
          <w:highlight w:val="yellow"/>
          <w:lang w:val="en-US" w:eastAsia="zh-CN"/>
        </w:rPr>
        <w:t>相似</w:t>
      </w:r>
      <w:r>
        <w:rPr>
          <w:rFonts w:ascii="宋体" w:hAnsi="宋体"/>
          <w:sz w:val="24"/>
          <w:highlight w:val="yellow"/>
        </w:rPr>
        <w:t>场所</w:t>
      </w:r>
      <w:r>
        <w:rPr>
          <w:rFonts w:hint="eastAsia" w:ascii="宋体" w:hAnsi="宋体"/>
          <w:sz w:val="24"/>
          <w:highlight w:val="yellow"/>
          <w:lang w:eastAsia="zh-CN"/>
        </w:rPr>
        <w:t>的</w:t>
      </w:r>
      <w:r>
        <w:rPr>
          <w:rFonts w:ascii="宋体" w:hAnsi="宋体"/>
          <w:sz w:val="24"/>
          <w:highlight w:val="yellow"/>
        </w:rPr>
        <w:t>总</w:t>
      </w:r>
      <w:r>
        <w:rPr>
          <w:rFonts w:hint="eastAsia" w:ascii="宋体" w:hAnsi="宋体"/>
          <w:sz w:val="24"/>
          <w:highlight w:val="yellow"/>
          <w:lang w:val="en-US" w:eastAsia="zh-CN"/>
        </w:rPr>
        <w:t>体</w:t>
      </w:r>
      <w:r>
        <w:rPr>
          <w:rFonts w:ascii="宋体" w:hAnsi="宋体"/>
          <w:sz w:val="24"/>
          <w:highlight w:val="yellow"/>
        </w:rPr>
        <w:t>数</w:t>
      </w:r>
      <w:r>
        <w:rPr>
          <w:rFonts w:hint="eastAsia" w:ascii="宋体" w:hAnsi="宋体"/>
          <w:sz w:val="24"/>
          <w:highlight w:val="yellow"/>
          <w:lang w:val="en-US" w:eastAsia="zh-CN"/>
        </w:rPr>
        <w:t>量</w:t>
      </w:r>
      <w:r>
        <w:rPr>
          <w:rFonts w:ascii="宋体" w:hAnsi="宋体"/>
          <w:sz w:val="24"/>
          <w:highlight w:val="yellow"/>
        </w:rPr>
        <w:t xml:space="preserve">。 </w:t>
      </w:r>
    </w:p>
    <w:p w14:paraId="2ACD7A44">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监督审核：每年的抽样数量应为场所数量的平方根乘以0.6</w:t>
      </w:r>
      <w:r>
        <w:rPr>
          <w:rFonts w:hint="eastAsia" w:ascii="宋体" w:hAnsi="宋体"/>
          <w:sz w:val="24"/>
          <w:highlight w:val="yellow"/>
        </w:rPr>
        <w:t>，</w:t>
      </w:r>
      <w:r>
        <w:rPr>
          <w:rFonts w:ascii="宋体" w:hAnsi="宋体"/>
          <w:sz w:val="24"/>
          <w:highlight w:val="yellow"/>
        </w:rPr>
        <w:t>即（y＝0.6</w:t>
      </w:r>
      <w:r>
        <w:rPr>
          <w:rFonts w:ascii="宋体" w:hAnsi="宋体"/>
          <w:position w:val="-8"/>
          <w:sz w:val="24"/>
          <w:highlight w:val="yellow"/>
        </w:rPr>
        <w:object>
          <v:shape id="_x0000_i1026"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5">
            <o:LockedField>false</o:LockedField>
          </o:OLEObject>
        </w:object>
      </w:r>
      <w:r>
        <w:rPr>
          <w:rFonts w:ascii="宋体" w:hAnsi="宋体"/>
          <w:sz w:val="24"/>
          <w:highlight w:val="yellow"/>
        </w:rPr>
        <w:t xml:space="preserve">），计算结果向上取整为最接近的整数。 </w:t>
      </w:r>
    </w:p>
    <w:p w14:paraId="143F80C8">
      <w:pPr>
        <w:spacing w:line="360" w:lineRule="auto"/>
        <w:ind w:firstLine="480"/>
        <w:rPr>
          <w:rFonts w:hint="eastAsia" w:ascii="宋体" w:hAnsi="宋体"/>
          <w:sz w:val="24"/>
          <w:highlight w:val="yellow"/>
        </w:rPr>
      </w:pPr>
      <w:r>
        <w:rPr>
          <w:rFonts w:ascii="宋体" w:hAnsi="宋体"/>
          <w:sz w:val="24"/>
          <w:highlight w:val="yellow"/>
        </w:rPr>
        <w:t>再认证审核：样本的数量应与初次审核相同。然而，如果证明管理体系在认证周期中是有效的，样本的数量可以减少至乘以系数0.8</w:t>
      </w:r>
      <w:r>
        <w:rPr>
          <w:rFonts w:hint="eastAsia" w:ascii="宋体" w:hAnsi="宋体"/>
          <w:sz w:val="24"/>
          <w:highlight w:val="yellow"/>
        </w:rPr>
        <w:t>，</w:t>
      </w:r>
      <w:r>
        <w:rPr>
          <w:rFonts w:ascii="宋体" w:hAnsi="宋体"/>
          <w:sz w:val="24"/>
          <w:highlight w:val="yellow"/>
        </w:rPr>
        <w:t>即（y＝0.8</w:t>
      </w:r>
      <w:r>
        <w:rPr>
          <w:rFonts w:ascii="宋体" w:hAnsi="宋体"/>
          <w:position w:val="-8"/>
          <w:sz w:val="24"/>
          <w:highlight w:val="yellow"/>
        </w:rPr>
        <w:object>
          <v:shape id="_x0000_i1027"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7" DrawAspect="Content" ObjectID="_1468075728" r:id="rId16">
            <o:LockedField>false</o:LockedField>
          </o:OLEObject>
        </w:object>
      </w:r>
      <w:r>
        <w:rPr>
          <w:rFonts w:ascii="宋体" w:hAnsi="宋体"/>
          <w:sz w:val="24"/>
          <w:highlight w:val="yellow"/>
        </w:rPr>
        <w:t xml:space="preserve">），计算结果向上取整为最接近的整数。 </w:t>
      </w:r>
    </w:p>
    <w:p w14:paraId="7F79B2FA">
      <w:pPr>
        <w:spacing w:line="360" w:lineRule="auto"/>
        <w:rPr>
          <w:rFonts w:hint="eastAsia" w:ascii="宋体" w:hAnsi="宋体"/>
          <w:sz w:val="24"/>
          <w:highlight w:val="yellow"/>
        </w:rPr>
      </w:pPr>
      <w:r>
        <w:rPr>
          <w:rFonts w:hint="eastAsia" w:ascii="宋体" w:hAnsi="宋体"/>
          <w:sz w:val="24"/>
          <w:highlight w:val="yellow"/>
          <w:lang w:val="en-US" w:eastAsia="zh-CN"/>
        </w:rPr>
        <w:t>6.4.2不可抽样的多场所组织</w:t>
      </w:r>
      <w:r>
        <w:rPr>
          <w:rFonts w:ascii="宋体" w:hAnsi="宋体"/>
          <w:sz w:val="24"/>
          <w:highlight w:val="yellow"/>
        </w:rPr>
        <w:t xml:space="preserve"> </w:t>
      </w:r>
    </w:p>
    <w:p w14:paraId="363763C4">
      <w:pPr>
        <w:spacing w:line="360" w:lineRule="auto"/>
        <w:ind w:firstLine="480" w:firstLineChars="200"/>
        <w:rPr>
          <w:rFonts w:hint="default" w:ascii="宋体" w:hAnsi="宋体" w:eastAsia="宋体" w:cs="Times New Roman"/>
          <w:sz w:val="24"/>
          <w:highlight w:val="yellow"/>
        </w:rPr>
      </w:pPr>
      <w:r>
        <w:rPr>
          <w:rFonts w:hint="default" w:ascii="宋体" w:hAnsi="宋体" w:eastAsia="宋体" w:cs="Times New Roman"/>
          <w:sz w:val="24"/>
          <w:highlight w:val="yellow"/>
        </w:rPr>
        <w:t>初审和再认证审核应当逐一到各场所进行审核。监督审核应抽取不少于30%的场所进行审核，且每次审核均应包括中心职能部门。第二次监督审核选取的场所通常不同于第一次监督审核所选取的场所。</w:t>
      </w:r>
    </w:p>
    <w:p w14:paraId="686A914A">
      <w:pPr>
        <w:pStyle w:val="4"/>
        <w:spacing w:line="360" w:lineRule="auto"/>
        <w:jc w:val="left"/>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6.5审核时间</w:t>
      </w:r>
    </w:p>
    <w:p w14:paraId="754A78E7">
      <w:pPr>
        <w:spacing w:line="360" w:lineRule="auto"/>
        <w:ind w:firstLine="480" w:firstLineChars="200"/>
        <w:rPr>
          <w:rFonts w:hint="eastAsia" w:ascii="宋体" w:hAnsi="宋体" w:eastAsia="宋体" w:cs="Times New Roman"/>
          <w:kern w:val="2"/>
          <w:sz w:val="24"/>
          <w:szCs w:val="24"/>
          <w:highlight w:val="yellow"/>
          <w:lang w:val="en-US" w:eastAsia="zh-CN" w:bidi="ar-SA"/>
        </w:rPr>
      </w:pPr>
      <w:r>
        <w:rPr>
          <w:rFonts w:hint="eastAsia" w:ascii="宋体" w:hAnsi="宋体" w:cs="Times New Roman"/>
          <w:kern w:val="2"/>
          <w:sz w:val="24"/>
          <w:szCs w:val="24"/>
          <w:highlight w:val="yellow"/>
          <w:lang w:val="en-US" w:eastAsia="zh-CN" w:bidi="ar-SA"/>
        </w:rPr>
        <w:t>根据</w:t>
      </w:r>
      <w:r>
        <w:rPr>
          <w:rFonts w:hint="eastAsia" w:ascii="宋体" w:hAnsi="宋体" w:eastAsia="宋体" w:cs="Times New Roman"/>
          <w:kern w:val="2"/>
          <w:sz w:val="24"/>
          <w:szCs w:val="24"/>
          <w:highlight w:val="yellow"/>
          <w:lang w:val="en-US" w:eastAsia="zh-CN" w:bidi="ar-SA"/>
        </w:rPr>
        <w:t>认证委托人有效人数、</w:t>
      </w:r>
      <w:r>
        <w:rPr>
          <w:rFonts w:hint="eastAsia" w:ascii="宋体" w:hAnsi="宋体" w:eastAsia="宋体"/>
          <w:sz w:val="24"/>
          <w:szCs w:val="24"/>
          <w:highlight w:val="yellow"/>
        </w:rPr>
        <w:t>行业的风险/复杂程度类型</w:t>
      </w:r>
      <w:r>
        <w:rPr>
          <w:rFonts w:hint="eastAsia" w:ascii="宋体" w:hAnsi="宋体" w:eastAsia="宋体" w:cs="Times New Roman"/>
          <w:kern w:val="2"/>
          <w:sz w:val="24"/>
          <w:szCs w:val="24"/>
          <w:highlight w:val="yellow"/>
          <w:lang w:val="en-US" w:eastAsia="zh-CN" w:bidi="ar-SA"/>
        </w:rPr>
        <w:t>等因素确定审核时间。</w:t>
      </w:r>
    </w:p>
    <w:p w14:paraId="1294A35F">
      <w:pPr>
        <w:spacing w:line="360" w:lineRule="auto"/>
        <w:ind w:firstLine="480" w:firstLineChars="200"/>
        <w:rPr>
          <w:rFonts w:hint="default"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和其他管理体系实施结合审核时，结合审核的总审核时间不得少于多个单独体系所需审核时间之和的80%。</w:t>
      </w:r>
    </w:p>
    <w:p w14:paraId="55EDF4CF">
      <w:pPr>
        <w:pStyle w:val="2"/>
        <w:spacing w:line="360" w:lineRule="auto"/>
        <w:rPr>
          <w:rFonts w:hint="eastAsia" w:ascii="宋体" w:hAnsi="宋体"/>
          <w:color w:val="auto"/>
          <w:szCs w:val="24"/>
          <w:highlight w:val="none"/>
        </w:rPr>
      </w:pPr>
      <w:bookmarkStart w:id="76" w:name="_Toc185325626"/>
      <w:bookmarkStart w:id="77" w:name="_Toc444776331"/>
      <w:bookmarkStart w:id="78" w:name="_Toc634"/>
      <w:bookmarkStart w:id="79" w:name="_Toc5767"/>
      <w:r>
        <w:rPr>
          <w:rFonts w:hint="eastAsia" w:ascii="宋体" w:hAnsi="宋体"/>
          <w:color w:val="auto"/>
          <w:szCs w:val="24"/>
          <w:highlight w:val="none"/>
          <w:lang w:val="en-US" w:eastAsia="zh-CN"/>
        </w:rPr>
        <w:t>7</w:t>
      </w:r>
      <w:r>
        <w:rPr>
          <w:rFonts w:hint="eastAsia" w:ascii="宋体" w:hAnsi="宋体"/>
          <w:color w:val="auto"/>
          <w:szCs w:val="24"/>
          <w:highlight w:val="none"/>
        </w:rPr>
        <w:t xml:space="preserve"> 审核实施</w:t>
      </w:r>
      <w:bookmarkEnd w:id="76"/>
      <w:bookmarkEnd w:id="77"/>
      <w:bookmarkEnd w:id="78"/>
      <w:bookmarkEnd w:id="79"/>
    </w:p>
    <w:p w14:paraId="2B741A81">
      <w:pPr>
        <w:pStyle w:val="3"/>
        <w:spacing w:before="0" w:after="0" w:line="360" w:lineRule="auto"/>
        <w:rPr>
          <w:rFonts w:hint="eastAsia" w:ascii="宋体" w:hAnsi="宋体" w:eastAsia="宋体"/>
          <w:sz w:val="24"/>
          <w:szCs w:val="24"/>
          <w:highlight w:val="none"/>
        </w:rPr>
      </w:pPr>
      <w:bookmarkStart w:id="80" w:name="_Toc185325627"/>
      <w:bookmarkStart w:id="81" w:name="_Toc444776332"/>
      <w:bookmarkStart w:id="82" w:name="_Toc2924"/>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.1 审核准则</w:t>
      </w:r>
      <w:bookmarkEnd w:id="80"/>
      <w:bookmarkEnd w:id="81"/>
      <w:bookmarkEnd w:id="82"/>
    </w:p>
    <w:p w14:paraId="2C48C1C8">
      <w:pPr>
        <w:spacing w:line="360" w:lineRule="auto"/>
        <w:ind w:firstLine="360" w:firstLineChars="150"/>
        <w:rPr>
          <w:rFonts w:hint="eastAsia" w:ascii="宋体" w:hAnsi="宋体"/>
          <w:sz w:val="24"/>
          <w:highlight w:val="none"/>
        </w:rPr>
      </w:pPr>
      <w:r>
        <w:rPr>
          <w:rFonts w:hint="eastAsia" w:ascii="宋体" w:hAnsi="宋体"/>
          <w:sz w:val="24"/>
          <w:highlight w:val="none"/>
        </w:rPr>
        <w:t>认证双方确认的审核依据如下：</w:t>
      </w:r>
    </w:p>
    <w:p w14:paraId="23329023">
      <w:pPr>
        <w:numPr>
          <w:ilvl w:val="-1"/>
          <w:numId w:val="0"/>
        </w:numPr>
        <w:spacing w:line="360" w:lineRule="auto"/>
        <w:ind w:left="426" w:firstLine="480" w:firstLineChars="200"/>
        <w:rPr>
          <w:rFonts w:hint="eastAsia" w:ascii="宋体" w:hAnsi="宋体"/>
          <w:sz w:val="24"/>
          <w:highlight w:val="none"/>
        </w:rPr>
      </w:pPr>
      <w:r>
        <w:rPr>
          <w:rFonts w:hint="eastAsia" w:ascii="宋体" w:hAnsi="宋体"/>
          <w:sz w:val="24"/>
          <w:highlight w:val="none"/>
        </w:rPr>
        <w:t>信息安全管理体系标准：</w:t>
      </w:r>
      <w:r>
        <w:rPr>
          <w:rFonts w:hint="eastAsia" w:ascii="宋体" w:hAnsi="宋体"/>
          <w:sz w:val="24"/>
          <w:highlight w:val="yellow"/>
          <w:lang w:val="en-US" w:eastAsia="zh-CN"/>
        </w:rPr>
        <w:t>GB/T22080-2025/</w:t>
      </w:r>
      <w:r>
        <w:rPr>
          <w:rFonts w:hint="eastAsia" w:ascii="宋体" w:hAnsi="宋体"/>
          <w:sz w:val="24"/>
          <w:highlight w:val="yellow"/>
        </w:rPr>
        <w:t>ISO/IEC 27001</w:t>
      </w:r>
      <w:r>
        <w:rPr>
          <w:rFonts w:hint="eastAsia" w:ascii="宋体" w:hAnsi="宋体"/>
          <w:sz w:val="24"/>
          <w:highlight w:val="yellow"/>
          <w:lang w:val="en-US" w:eastAsia="zh-CN"/>
        </w:rPr>
        <w:t>:2022</w:t>
      </w:r>
      <w:r>
        <w:rPr>
          <w:rFonts w:hint="eastAsia" w:ascii="宋体" w:hAnsi="宋体"/>
          <w:sz w:val="24"/>
          <w:highlight w:val="yellow"/>
        </w:rPr>
        <w:t>《</w:t>
      </w:r>
      <w:r>
        <w:rPr>
          <w:rFonts w:hint="eastAsia" w:ascii="宋体" w:hAnsi="宋体"/>
          <w:b w:val="0"/>
          <w:color w:val="auto"/>
          <w:sz w:val="24"/>
          <w:highlight w:val="yellow"/>
          <w:lang w:eastAsia="zh-CN"/>
        </w:rPr>
        <w:t>网络安全</w:t>
      </w:r>
      <w:r>
        <w:rPr>
          <w:rFonts w:hint="eastAsia" w:ascii="宋体" w:hAnsi="宋体"/>
          <w:b w:val="0"/>
          <w:color w:val="auto"/>
          <w:sz w:val="24"/>
          <w:highlight w:val="yellow"/>
          <w:lang w:val="en-US" w:eastAsia="zh-CN"/>
        </w:rPr>
        <w:t xml:space="preserve">技术 </w:t>
      </w:r>
      <w:r>
        <w:rPr>
          <w:rFonts w:hint="eastAsia" w:ascii="宋体" w:hAnsi="宋体"/>
          <w:b w:val="0"/>
          <w:color w:val="auto"/>
          <w:sz w:val="24"/>
          <w:highlight w:val="yellow"/>
          <w:lang w:eastAsia="zh-CN"/>
        </w:rPr>
        <w:t>信息安全</w:t>
      </w:r>
      <w:r>
        <w:rPr>
          <w:rFonts w:hint="eastAsia" w:ascii="宋体" w:hAnsi="宋体" w:eastAsia="宋体"/>
          <w:b w:val="0"/>
          <w:color w:val="auto"/>
          <w:sz w:val="24"/>
          <w:highlight w:val="yellow"/>
          <w:lang w:eastAsia="zh-CN"/>
        </w:rPr>
        <w:t xml:space="preserve"> </w:t>
      </w:r>
      <w:r>
        <w:rPr>
          <w:rFonts w:hint="eastAsia" w:ascii="宋体" w:hAnsi="宋体"/>
          <w:b w:val="0"/>
          <w:color w:val="auto"/>
          <w:sz w:val="24"/>
          <w:highlight w:val="yellow"/>
          <w:lang w:eastAsia="zh-CN"/>
        </w:rPr>
        <w:t>管理体系</w:t>
      </w:r>
      <w:r>
        <w:rPr>
          <w:rFonts w:hint="eastAsia" w:ascii="宋体" w:hAnsi="宋体"/>
          <w:b w:val="0"/>
          <w:color w:val="auto"/>
          <w:sz w:val="24"/>
          <w:highlight w:val="yellow"/>
          <w:lang w:val="en-US" w:eastAsia="zh-CN"/>
        </w:rPr>
        <w:t xml:space="preserve"> </w:t>
      </w:r>
      <w:r>
        <w:rPr>
          <w:rFonts w:hint="eastAsia" w:ascii="宋体" w:hAnsi="宋体"/>
          <w:b w:val="0"/>
          <w:color w:val="auto"/>
          <w:sz w:val="24"/>
          <w:highlight w:val="yellow"/>
          <w:lang w:eastAsia="zh-CN"/>
        </w:rPr>
        <w:t>要求</w:t>
      </w:r>
      <w:r>
        <w:rPr>
          <w:rFonts w:hint="eastAsia" w:ascii="宋体" w:hAnsi="宋体"/>
          <w:sz w:val="24"/>
          <w:highlight w:val="yellow"/>
        </w:rPr>
        <w:t>》</w:t>
      </w:r>
      <w:r>
        <w:rPr>
          <w:rFonts w:hint="eastAsia" w:ascii="宋体" w:hAnsi="宋体"/>
          <w:sz w:val="24"/>
          <w:highlight w:val="none"/>
        </w:rPr>
        <w:t>；</w:t>
      </w:r>
    </w:p>
    <w:p w14:paraId="45B8436B">
      <w:pPr>
        <w:numPr>
          <w:ilvl w:val="-1"/>
          <w:numId w:val="0"/>
        </w:numPr>
        <w:spacing w:line="360" w:lineRule="auto"/>
        <w:ind w:left="426" w:firstLine="480" w:firstLineChars="200"/>
        <w:jc w:val="left"/>
        <w:rPr>
          <w:rFonts w:hint="eastAsia" w:ascii="宋体" w:hAnsi="宋体"/>
          <w:sz w:val="24"/>
          <w:highlight w:val="none"/>
        </w:rPr>
      </w:pPr>
      <w:r>
        <w:rPr>
          <w:rFonts w:hint="eastAsia" w:ascii="宋体" w:hAnsi="宋体"/>
          <w:sz w:val="24"/>
          <w:highlight w:val="none"/>
        </w:rPr>
        <w:t>审核准则还包括受审核方所适用的信息安全方针、目标、适用性声明、程序、标准、法律法规、操作规范、合同要求或行业规范。</w:t>
      </w:r>
    </w:p>
    <w:p w14:paraId="7C1E67F4">
      <w:pPr>
        <w:pStyle w:val="3"/>
        <w:spacing w:before="0" w:after="0" w:line="360" w:lineRule="auto"/>
        <w:rPr>
          <w:rFonts w:ascii="宋体" w:hAnsi="宋体" w:eastAsia="宋体"/>
          <w:sz w:val="24"/>
          <w:highlight w:val="none"/>
          <w:lang w:val="en-GB"/>
        </w:rPr>
      </w:pPr>
      <w:bookmarkStart w:id="83" w:name="_Toc28263"/>
      <w:bookmarkStart w:id="84" w:name="_Toc444776333"/>
      <w:bookmarkStart w:id="85" w:name="_Toc185325628"/>
      <w:bookmarkStart w:id="86" w:name="_Toc7650"/>
      <w:r>
        <w:rPr>
          <w:rFonts w:hint="eastAsia" w:ascii="宋体" w:hAnsi="宋体" w:eastAsia="宋体"/>
          <w:sz w:val="24"/>
          <w:highlight w:val="none"/>
          <w:lang w:val="en-US" w:eastAsia="zh-CN"/>
        </w:rPr>
        <w:t>7</w:t>
      </w:r>
      <w:r>
        <w:rPr>
          <w:rFonts w:ascii="宋体" w:hAnsi="宋体" w:eastAsia="宋体"/>
          <w:sz w:val="24"/>
          <w:highlight w:val="none"/>
        </w:rPr>
        <w:t xml:space="preserve">.2 </w:t>
      </w:r>
      <w:r>
        <w:rPr>
          <w:rFonts w:hint="eastAsia" w:ascii="宋体" w:hAnsi="宋体" w:eastAsia="宋体"/>
          <w:sz w:val="24"/>
          <w:highlight w:val="none"/>
        </w:rPr>
        <w:t>审核过程</w:t>
      </w:r>
      <w:bookmarkEnd w:id="83"/>
    </w:p>
    <w:p w14:paraId="056001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基本要求：</w:t>
      </w:r>
    </w:p>
    <w:p w14:paraId="12CD1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a）</w:t>
      </w:r>
      <w:r>
        <w:rPr>
          <w:rFonts w:hint="default" w:asciiTheme="minorEastAsia" w:hAnsiTheme="minorEastAsia" w:eastAsiaTheme="minorEastAsia" w:cstheme="minorEastAsia"/>
          <w:color w:val="000000"/>
          <w:kern w:val="0"/>
          <w:sz w:val="24"/>
          <w:szCs w:val="24"/>
          <w:highlight w:val="yellow"/>
          <w:lang w:val="en-US" w:eastAsia="zh-CN" w:bidi="ar"/>
        </w:rPr>
        <w:t>最高管理者</w:t>
      </w:r>
      <w:r>
        <w:rPr>
          <w:rFonts w:hint="eastAsia" w:asciiTheme="minorEastAsia" w:hAnsiTheme="minorEastAsia" w:eastAsiaTheme="minorEastAsia" w:cstheme="minorEastAsia"/>
          <w:color w:val="000000"/>
          <w:kern w:val="0"/>
          <w:sz w:val="24"/>
          <w:szCs w:val="24"/>
          <w:highlight w:val="yellow"/>
          <w:lang w:val="en-US" w:eastAsia="zh-CN" w:bidi="ar"/>
        </w:rPr>
        <w:t>应</w:t>
      </w:r>
      <w:r>
        <w:rPr>
          <w:rFonts w:hint="default" w:asciiTheme="minorEastAsia" w:hAnsiTheme="minorEastAsia" w:eastAsiaTheme="minorEastAsia" w:cstheme="minorEastAsia"/>
          <w:color w:val="000000"/>
          <w:kern w:val="0"/>
          <w:sz w:val="24"/>
          <w:szCs w:val="24"/>
          <w:highlight w:val="yellow"/>
          <w:lang w:val="en-US" w:eastAsia="zh-CN" w:bidi="ar"/>
        </w:rPr>
        <w:t>参加首、末次会议，</w:t>
      </w:r>
      <w:r>
        <w:rPr>
          <w:rFonts w:hint="eastAsia" w:asciiTheme="minorEastAsia" w:hAnsiTheme="minorEastAsia" w:eastAsiaTheme="minorEastAsia" w:cstheme="minorEastAsia"/>
          <w:color w:val="000000"/>
          <w:kern w:val="0"/>
          <w:sz w:val="24"/>
          <w:szCs w:val="24"/>
          <w:highlight w:val="yellow"/>
          <w:lang w:val="en-US" w:eastAsia="zh-CN" w:bidi="ar"/>
        </w:rPr>
        <w:t>因故</w:t>
      </w:r>
      <w:r>
        <w:rPr>
          <w:rFonts w:hint="default" w:asciiTheme="minorEastAsia" w:hAnsiTheme="minorEastAsia" w:eastAsiaTheme="minorEastAsia" w:cstheme="minorEastAsia"/>
          <w:color w:val="000000"/>
          <w:kern w:val="0"/>
          <w:sz w:val="24"/>
          <w:szCs w:val="24"/>
          <w:highlight w:val="yellow"/>
          <w:lang w:val="en-US" w:eastAsia="zh-CN" w:bidi="ar"/>
        </w:rPr>
        <w:t>不能</w:t>
      </w:r>
      <w:r>
        <w:rPr>
          <w:rFonts w:hint="eastAsia" w:asciiTheme="minorEastAsia" w:hAnsiTheme="minorEastAsia" w:eastAsiaTheme="minorEastAsia" w:cstheme="minorEastAsia"/>
          <w:color w:val="000000"/>
          <w:kern w:val="0"/>
          <w:sz w:val="24"/>
          <w:szCs w:val="24"/>
          <w:highlight w:val="yellow"/>
          <w:lang w:val="en-US" w:eastAsia="zh-CN" w:bidi="ar"/>
        </w:rPr>
        <w:t>参加的，</w:t>
      </w:r>
      <w:r>
        <w:rPr>
          <w:rFonts w:hint="default" w:asciiTheme="minorEastAsia" w:hAnsiTheme="minorEastAsia" w:eastAsiaTheme="minorEastAsia" w:cstheme="minorEastAsia"/>
          <w:color w:val="000000"/>
          <w:kern w:val="0"/>
          <w:sz w:val="24"/>
          <w:szCs w:val="24"/>
          <w:highlight w:val="yellow"/>
          <w:lang w:val="en-US" w:eastAsia="zh-CN" w:bidi="ar"/>
        </w:rPr>
        <w:t>应书面授权其他高级管理层成员参会，</w:t>
      </w:r>
      <w:r>
        <w:rPr>
          <w:rFonts w:hint="eastAsia" w:asciiTheme="minorEastAsia" w:hAnsiTheme="minorEastAsia" w:eastAsiaTheme="minorEastAsia" w:cstheme="minorEastAsia"/>
          <w:color w:val="000000"/>
          <w:kern w:val="0"/>
          <w:sz w:val="24"/>
          <w:szCs w:val="24"/>
          <w:highlight w:val="yellow"/>
          <w:lang w:val="en-US" w:eastAsia="zh-CN" w:bidi="ar"/>
        </w:rPr>
        <w:t>向</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说明</w:t>
      </w:r>
      <w:r>
        <w:rPr>
          <w:rFonts w:hint="default" w:asciiTheme="minorEastAsia" w:hAnsiTheme="minorEastAsia" w:eastAsiaTheme="minorEastAsia" w:cstheme="minorEastAsia"/>
          <w:color w:val="000000"/>
          <w:kern w:val="0"/>
          <w:sz w:val="24"/>
          <w:szCs w:val="24"/>
          <w:highlight w:val="yellow"/>
          <w:lang w:val="en-US" w:eastAsia="zh-CN" w:bidi="ar"/>
        </w:rPr>
        <w:t>缺席理由。</w:t>
      </w:r>
    </w:p>
    <w:p w14:paraId="3F277BB8">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通过面对面访谈等形式，对最高管理者在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中发挥领导作用的情况进行重点审核，并保留现场图片</w:t>
      </w: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音像、审核记录等证明材料。最高管理者不熟悉组织自身的</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方针、目标，未亲自参与并推动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实施的，认证审核</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不予通过。</w:t>
      </w:r>
    </w:p>
    <w:p w14:paraId="4D81DF6B">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c）发生下列情况时，审核组将向认证机构报告后终止审核：</w:t>
      </w:r>
    </w:p>
    <w:p w14:paraId="36054EC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（1）认证委托人对审核活动不予配合，审核活动无法进行；</w:t>
      </w:r>
    </w:p>
    <w:p w14:paraId="4D6F0EE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（2）认证委托人的最高管理者或经授权的高级管理层成员缺席首、末次会议；</w:t>
      </w:r>
    </w:p>
    <w:p w14:paraId="3F2A13EC">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）认证委托人实际情况与申请材料有重大不一致；</w:t>
      </w:r>
    </w:p>
    <w:p w14:paraId="346352AC">
      <w:pPr>
        <w:spacing w:line="360" w:lineRule="auto"/>
        <w:ind w:firstLine="480" w:firstLineChars="200"/>
        <w:jc w:val="left"/>
        <w:rPr>
          <w:rFonts w:hint="eastAsia" w:ascii="宋体" w:hAnsi="宋体"/>
          <w:bCs/>
          <w:sz w:val="24"/>
          <w:highlight w:val="none"/>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）其他导致审核程序无法完成的情况。</w:t>
      </w:r>
    </w:p>
    <w:p w14:paraId="44A86692">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2.1</w:t>
      </w:r>
      <w:r>
        <w:rPr>
          <w:rFonts w:hint="eastAsia" w:ascii="宋体" w:hAnsi="宋体"/>
          <w:bCs/>
          <w:sz w:val="24"/>
          <w:highlight w:val="none"/>
        </w:rPr>
        <w:t xml:space="preserve"> 初次认证审核</w:t>
      </w:r>
    </w:p>
    <w:p w14:paraId="14011EA4">
      <w:pPr>
        <w:spacing w:line="360" w:lineRule="auto"/>
        <w:ind w:firstLine="480" w:firstLineChars="200"/>
        <w:jc w:val="left"/>
        <w:rPr>
          <w:rFonts w:hint="eastAsia" w:ascii="宋体" w:hAnsi="宋体"/>
          <w:sz w:val="24"/>
          <w:highlight w:val="none"/>
        </w:rPr>
      </w:pPr>
      <w:r>
        <w:rPr>
          <w:rFonts w:hint="eastAsia" w:ascii="宋体" w:hAnsi="宋体"/>
          <w:sz w:val="24"/>
          <w:highlight w:val="none"/>
        </w:rPr>
        <w:t>初次认证审核分两个阶段实施：第一阶段和第二阶段。</w:t>
      </w:r>
      <w:r>
        <w:rPr>
          <w:rFonts w:hint="eastAsia" w:ascii="宋体" w:hAnsi="宋体"/>
          <w:sz w:val="24"/>
          <w:highlight w:val="yellow"/>
          <w:lang w:val="en-US" w:eastAsia="zh-CN"/>
        </w:rPr>
        <w:t>两个阶段审核时间间隔最短不应少于5日，最长不应超过6个月。如需要更长的时间间隔，应重新实施第一阶段审核。</w:t>
      </w:r>
    </w:p>
    <w:p w14:paraId="00D6927D">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.1</w:t>
      </w:r>
      <w:r>
        <w:rPr>
          <w:rFonts w:ascii="宋体" w:hAnsi="宋体"/>
          <w:bCs/>
          <w:sz w:val="24"/>
          <w:highlight w:val="none"/>
        </w:rPr>
        <w:t>.1</w:t>
      </w:r>
      <w:r>
        <w:rPr>
          <w:rFonts w:hint="eastAsia" w:ascii="宋体" w:hAnsi="宋体"/>
          <w:bCs/>
          <w:sz w:val="24"/>
          <w:highlight w:val="none"/>
        </w:rPr>
        <w:t xml:space="preserve"> 第一阶段审核</w:t>
      </w:r>
    </w:p>
    <w:p w14:paraId="0C16D6FF">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w:t>
      </w:r>
      <w:r>
        <w:rPr>
          <w:rFonts w:hint="eastAsia" w:ascii="宋体" w:hAnsi="宋体"/>
          <w:sz w:val="24"/>
          <w:highlight w:val="yellow"/>
          <w:lang w:val="en-US" w:eastAsia="zh-CN"/>
        </w:rPr>
        <w:t>验证申请材料的真实性，</w:t>
      </w:r>
      <w:r>
        <w:rPr>
          <w:rFonts w:hint="eastAsia" w:ascii="宋体" w:hAnsi="宋体"/>
          <w:sz w:val="24"/>
          <w:highlight w:val="none"/>
        </w:rPr>
        <w:t>结合受审核方的管理体系运行目标和体系覆盖活动的专业特点，根据受审核方提供的管理体系文件、体系运作过程、运作场所和现场的具体情况、内部审核与管理评审策划和实施情况，确认受审核方对标准的理解和实施的程度、对目标的实现具有重要影响的关键点、相关的法律法规要求的遵守情况以及管理体系范围，以确定第二阶段审核安排。</w:t>
      </w:r>
    </w:p>
    <w:p w14:paraId="27B4BCE8">
      <w:pPr>
        <w:spacing w:line="360" w:lineRule="auto"/>
        <w:ind w:firstLine="480" w:firstLineChars="200"/>
        <w:jc w:val="left"/>
        <w:rPr>
          <w:rFonts w:hint="eastAsia" w:ascii="宋体" w:hAnsi="宋体"/>
          <w:sz w:val="24"/>
          <w:highlight w:val="none"/>
        </w:rPr>
      </w:pPr>
      <w:r>
        <w:rPr>
          <w:rFonts w:hint="eastAsia" w:ascii="宋体" w:hAnsi="宋体"/>
          <w:sz w:val="24"/>
          <w:highlight w:val="none"/>
        </w:rPr>
        <w:t>如果发生任何将影响管理体系的重要变更，CQM可能将重复整个或部分第一阶段审核。第一阶段审核的结果可能导致推迟或取消第二阶段。</w:t>
      </w:r>
    </w:p>
    <w:p w14:paraId="03C89816">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1.</w:t>
      </w:r>
      <w:r>
        <w:rPr>
          <w:rFonts w:hint="eastAsia" w:ascii="宋体" w:hAnsi="宋体"/>
          <w:bCs/>
          <w:sz w:val="24"/>
          <w:highlight w:val="none"/>
          <w:lang w:val="en-US" w:eastAsia="zh-CN"/>
        </w:rPr>
        <w:t>2</w:t>
      </w:r>
      <w:r>
        <w:rPr>
          <w:rFonts w:hint="eastAsia" w:ascii="宋体" w:hAnsi="宋体"/>
          <w:bCs/>
          <w:sz w:val="24"/>
          <w:highlight w:val="none"/>
        </w:rPr>
        <w:t xml:space="preserve"> 第二阶段审核</w:t>
      </w:r>
    </w:p>
    <w:p w14:paraId="2697117E">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审核组现场评价受审核方管理体系的实施情况，包括符合性和有效性。第二阶段审核至少包括以下方面：</w:t>
      </w:r>
    </w:p>
    <w:p w14:paraId="6DE52889">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管理体系与标准的符合情况</w:t>
      </w:r>
      <w:r>
        <w:rPr>
          <w:rFonts w:hint="eastAsia" w:ascii="宋体" w:hAnsi="宋体"/>
          <w:color w:val="auto"/>
          <w:sz w:val="24"/>
          <w:highlight w:val="none"/>
          <w:lang w:val="en-US" w:eastAsia="zh-CN"/>
        </w:rPr>
        <w:t>及证据</w:t>
      </w:r>
      <w:r>
        <w:rPr>
          <w:rFonts w:hint="eastAsia" w:ascii="宋体" w:hAnsi="宋体"/>
          <w:color w:val="auto"/>
          <w:sz w:val="24"/>
          <w:highlight w:val="none"/>
        </w:rPr>
        <w:t>；</w:t>
      </w:r>
    </w:p>
    <w:p w14:paraId="104FC48F">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依据关键绩效目标和指标，对绩效进行的监视、测量、报告和评审；</w:t>
      </w:r>
    </w:p>
    <w:p w14:paraId="7E518EFE">
      <w:pPr>
        <w:numPr>
          <w:ilvl w:val="0"/>
          <w:numId w:val="2"/>
        </w:numPr>
        <w:spacing w:line="360" w:lineRule="auto"/>
        <w:jc w:val="left"/>
        <w:rPr>
          <w:rFonts w:hint="eastAsia" w:ascii="宋体" w:hAnsi="宋体"/>
          <w:color w:val="FF0000"/>
          <w:sz w:val="24"/>
          <w:highlight w:val="none"/>
        </w:rPr>
      </w:pPr>
      <w:r>
        <w:rPr>
          <w:rFonts w:hint="eastAsia" w:ascii="宋体" w:hAnsi="宋体"/>
          <w:color w:val="FF0000"/>
          <w:sz w:val="24"/>
          <w:highlight w:val="none"/>
          <w:lang w:val="en-US" w:eastAsia="zh-CN"/>
        </w:rPr>
        <w:t>实施</w:t>
      </w:r>
      <w:r>
        <w:rPr>
          <w:rFonts w:hint="eastAsia" w:ascii="宋体" w:hAnsi="宋体"/>
          <w:color w:val="FF0000"/>
          <w:sz w:val="24"/>
          <w:highlight w:val="none"/>
        </w:rPr>
        <w:t>管理体系</w:t>
      </w:r>
      <w:r>
        <w:rPr>
          <w:rFonts w:hint="eastAsia" w:ascii="宋体" w:hAnsi="宋体"/>
          <w:color w:val="FF0000"/>
          <w:sz w:val="24"/>
          <w:highlight w:val="none"/>
          <w:lang w:val="en-US" w:eastAsia="zh-CN"/>
        </w:rPr>
        <w:t>的能力以及在符合适用</w:t>
      </w:r>
      <w:r>
        <w:rPr>
          <w:rFonts w:hint="eastAsia" w:ascii="宋体" w:hAnsi="宋体"/>
          <w:color w:val="FF0000"/>
          <w:sz w:val="24"/>
          <w:highlight w:val="none"/>
        </w:rPr>
        <w:t>法律</w:t>
      </w:r>
      <w:r>
        <w:rPr>
          <w:rFonts w:hint="eastAsia" w:ascii="宋体" w:hAnsi="宋体"/>
          <w:color w:val="FF0000"/>
          <w:sz w:val="24"/>
          <w:highlight w:val="none"/>
          <w:lang w:val="en-US" w:eastAsia="zh-CN"/>
        </w:rPr>
        <w:t>法规要求</w:t>
      </w:r>
      <w:r>
        <w:rPr>
          <w:rFonts w:hint="eastAsia" w:ascii="宋体" w:hAnsi="宋体"/>
          <w:color w:val="FF0000"/>
          <w:sz w:val="24"/>
          <w:highlight w:val="none"/>
        </w:rPr>
        <w:t>方面</w:t>
      </w:r>
      <w:r>
        <w:rPr>
          <w:rFonts w:hint="eastAsia" w:ascii="宋体" w:hAnsi="宋体"/>
          <w:color w:val="FF0000"/>
          <w:sz w:val="24"/>
          <w:highlight w:val="none"/>
          <w:lang w:eastAsia="zh-CN"/>
        </w:rPr>
        <w:t>的</w:t>
      </w:r>
      <w:r>
        <w:rPr>
          <w:rFonts w:hint="eastAsia" w:ascii="宋体" w:hAnsi="宋体"/>
          <w:color w:val="FF0000"/>
          <w:sz w:val="24"/>
          <w:highlight w:val="none"/>
          <w:lang w:val="en-US" w:eastAsia="zh-CN"/>
        </w:rPr>
        <w:t>绩效</w:t>
      </w:r>
      <w:r>
        <w:rPr>
          <w:rFonts w:hint="eastAsia" w:ascii="宋体" w:hAnsi="宋体"/>
          <w:color w:val="FF0000"/>
          <w:sz w:val="24"/>
          <w:highlight w:val="none"/>
        </w:rPr>
        <w:t>；</w:t>
      </w:r>
    </w:p>
    <w:p w14:paraId="06AFA5B1">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受审核方过程的运作控制；</w:t>
      </w:r>
    </w:p>
    <w:p w14:paraId="3546B3DB">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内部审核和管理评审实施情况；</w:t>
      </w:r>
    </w:p>
    <w:p w14:paraId="7747FE2B">
      <w:pPr>
        <w:numPr>
          <w:ilvl w:val="0"/>
          <w:numId w:val="2"/>
        </w:numPr>
        <w:spacing w:line="360" w:lineRule="auto"/>
        <w:jc w:val="left"/>
        <w:rPr>
          <w:rFonts w:hint="eastAsia" w:ascii="宋体" w:hAnsi="宋体"/>
          <w:sz w:val="24"/>
          <w:highlight w:val="none"/>
        </w:rPr>
      </w:pPr>
      <w:r>
        <w:rPr>
          <w:rFonts w:hint="eastAsia" w:ascii="宋体" w:hAnsi="宋体"/>
          <w:color w:val="auto"/>
          <w:sz w:val="24"/>
          <w:highlight w:val="none"/>
        </w:rPr>
        <w:t>管理职责的落实，包括针对方针的</w:t>
      </w:r>
      <w:r>
        <w:rPr>
          <w:rFonts w:hint="eastAsia" w:ascii="宋体" w:hAnsi="宋体"/>
          <w:sz w:val="24"/>
          <w:highlight w:val="none"/>
        </w:rPr>
        <w:t>管理职责；</w:t>
      </w:r>
    </w:p>
    <w:p w14:paraId="5F3FD875">
      <w:pPr>
        <w:spacing w:line="360" w:lineRule="auto"/>
        <w:ind w:firstLine="480" w:firstLineChars="200"/>
        <w:jc w:val="left"/>
        <w:rPr>
          <w:rFonts w:hint="eastAsia" w:ascii="宋体" w:hAnsi="宋体"/>
          <w:color w:val="000000"/>
          <w:sz w:val="24"/>
          <w:highlight w:val="none"/>
        </w:rPr>
      </w:pPr>
      <w:r>
        <w:rPr>
          <w:rFonts w:hint="eastAsia" w:hAnsi="宋体"/>
          <w:bCs/>
          <w:color w:val="000000"/>
          <w:sz w:val="24"/>
          <w:highlight w:val="none"/>
        </w:rPr>
        <w:t>如果认证客户不能在初次认证第二阶段结束后的规定时间内按要求关闭不符合，CQM将</w:t>
      </w:r>
      <w:r>
        <w:rPr>
          <w:rFonts w:hint="eastAsia" w:hAnsi="宋体"/>
          <w:color w:val="000000"/>
          <w:sz w:val="24"/>
          <w:highlight w:val="none"/>
        </w:rPr>
        <w:t>再实施一次第二阶段审核或不批准认证。</w:t>
      </w:r>
    </w:p>
    <w:p w14:paraId="22E11E8D">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 xml:space="preserve"> 监督活动</w:t>
      </w:r>
    </w:p>
    <w:p w14:paraId="5AC392A8">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.1 监督活动的方式</w:t>
      </w:r>
    </w:p>
    <w:p w14:paraId="2FC2B494">
      <w:pPr>
        <w:spacing w:line="360" w:lineRule="auto"/>
        <w:ind w:firstLine="480" w:firstLineChars="200"/>
        <w:rPr>
          <w:rFonts w:ascii="宋体" w:hAnsi="宋体"/>
          <w:sz w:val="24"/>
          <w:highlight w:val="none"/>
        </w:rPr>
      </w:pPr>
      <w:r>
        <w:rPr>
          <w:rFonts w:hint="eastAsia" w:ascii="宋体" w:hAnsi="宋体"/>
          <w:sz w:val="24"/>
          <w:highlight w:val="none"/>
        </w:rPr>
        <w:t>CQM采用现场监督审核和日常监督</w:t>
      </w:r>
      <w:r>
        <w:rPr>
          <w:rFonts w:hint="eastAsia"/>
          <w:sz w:val="24"/>
          <w:highlight w:val="none"/>
        </w:rPr>
        <w:t>（如关注国家有关部门发布的</w:t>
      </w:r>
      <w:r>
        <w:rPr>
          <w:rFonts w:hint="eastAsia"/>
          <w:sz w:val="24"/>
          <w:highlight w:val="none"/>
          <w:lang w:val="en-US" w:eastAsia="zh-CN"/>
        </w:rPr>
        <w:t>信息安全</w:t>
      </w:r>
      <w:r>
        <w:rPr>
          <w:rFonts w:hint="eastAsia"/>
          <w:sz w:val="24"/>
          <w:highlight w:val="none"/>
        </w:rPr>
        <w:t>信息公报、关注获证客户相关方的信息、获证客户有关信息的日常跟踪、审查获证客户及其运作的说明、要求获证客户提供文件和记录等）</w:t>
      </w:r>
      <w:r>
        <w:rPr>
          <w:rFonts w:hint="eastAsia" w:ascii="宋体" w:hAnsi="宋体"/>
          <w:sz w:val="24"/>
          <w:highlight w:val="none"/>
        </w:rPr>
        <w:t>相结合的方式。</w:t>
      </w:r>
    </w:p>
    <w:p w14:paraId="1E51DC44">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2 获证后监督审核的内容</w:t>
      </w:r>
    </w:p>
    <w:p w14:paraId="7A500C96">
      <w:pPr>
        <w:numPr>
          <w:ilvl w:val="0"/>
          <w:numId w:val="3"/>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w:t>
      </w:r>
    </w:p>
    <w:p w14:paraId="0C60A076">
      <w:pPr>
        <w:numPr>
          <w:ilvl w:val="0"/>
          <w:numId w:val="3"/>
        </w:numPr>
        <w:spacing w:line="360" w:lineRule="auto"/>
        <w:jc w:val="left"/>
        <w:rPr>
          <w:rFonts w:hint="eastAsia" w:ascii="宋体" w:hAnsi="宋体"/>
          <w:sz w:val="24"/>
          <w:highlight w:val="none"/>
        </w:rPr>
      </w:pPr>
      <w:r>
        <w:rPr>
          <w:rFonts w:hint="eastAsia" w:ascii="宋体" w:hAnsi="宋体"/>
          <w:sz w:val="24"/>
          <w:highlight w:val="none"/>
        </w:rPr>
        <w:t>对上次审核中确定的不符合所采取的措施和效果；</w:t>
      </w:r>
    </w:p>
    <w:p w14:paraId="04FA335C">
      <w:pPr>
        <w:numPr>
          <w:ilvl w:val="0"/>
          <w:numId w:val="3"/>
        </w:numPr>
        <w:spacing w:line="360" w:lineRule="auto"/>
        <w:jc w:val="left"/>
        <w:rPr>
          <w:rFonts w:hint="eastAsia" w:ascii="宋体" w:hAnsi="宋体"/>
          <w:color w:val="auto"/>
          <w:sz w:val="24"/>
          <w:highlight w:val="none"/>
        </w:rPr>
      </w:pPr>
      <w:r>
        <w:rPr>
          <w:rFonts w:hint="eastAsia" w:ascii="宋体" w:hAnsi="宋体"/>
          <w:color w:val="FF0000"/>
          <w:sz w:val="24"/>
          <w:highlight w:val="yellow"/>
        </w:rPr>
        <w:t>管理体系</w:t>
      </w:r>
      <w:r>
        <w:rPr>
          <w:rFonts w:hint="eastAsia" w:ascii="宋体" w:hAnsi="宋体"/>
          <w:color w:val="FF0000"/>
          <w:sz w:val="24"/>
          <w:highlight w:val="yellow"/>
          <w:lang w:val="en-US" w:eastAsia="zh-CN"/>
        </w:rPr>
        <w:t>在实现组织目标和管理体系预期结果方面</w:t>
      </w:r>
      <w:r>
        <w:rPr>
          <w:rFonts w:hint="eastAsia" w:ascii="宋体" w:hAnsi="宋体"/>
          <w:color w:val="FF0000"/>
          <w:sz w:val="24"/>
          <w:highlight w:val="yellow"/>
        </w:rPr>
        <w:t>的有效性；</w:t>
      </w:r>
    </w:p>
    <w:p w14:paraId="63234E4F">
      <w:pPr>
        <w:numPr>
          <w:ilvl w:val="0"/>
          <w:numId w:val="3"/>
        </w:numPr>
        <w:spacing w:line="360" w:lineRule="auto"/>
        <w:jc w:val="left"/>
        <w:rPr>
          <w:rFonts w:hint="eastAsia" w:ascii="宋体" w:hAnsi="宋体"/>
          <w:sz w:val="24"/>
          <w:highlight w:val="none"/>
        </w:rPr>
      </w:pPr>
      <w:r>
        <w:rPr>
          <w:rFonts w:hint="eastAsia" w:ascii="宋体" w:hAnsi="宋体"/>
          <w:sz w:val="24"/>
          <w:highlight w:val="none"/>
        </w:rPr>
        <w:t>为持续改进而策划的活动的进展；</w:t>
      </w:r>
    </w:p>
    <w:p w14:paraId="7F82DF53">
      <w:pPr>
        <w:numPr>
          <w:ilvl w:val="0"/>
          <w:numId w:val="3"/>
        </w:numPr>
        <w:spacing w:line="360" w:lineRule="auto"/>
        <w:jc w:val="left"/>
        <w:rPr>
          <w:rFonts w:hint="eastAsia" w:ascii="宋体" w:hAnsi="宋体"/>
          <w:color w:val="auto"/>
          <w:sz w:val="24"/>
          <w:highlight w:val="none"/>
        </w:rPr>
      </w:pPr>
      <w:r>
        <w:rPr>
          <w:rFonts w:hint="eastAsia" w:ascii="宋体" w:hAnsi="宋体"/>
          <w:color w:val="auto"/>
          <w:sz w:val="24"/>
          <w:highlight w:val="none"/>
        </w:rPr>
        <w:t>持续的运作控制；</w:t>
      </w:r>
    </w:p>
    <w:p w14:paraId="2032A126">
      <w:pPr>
        <w:numPr>
          <w:ilvl w:val="0"/>
          <w:numId w:val="3"/>
        </w:numPr>
        <w:spacing w:line="360" w:lineRule="auto"/>
        <w:jc w:val="left"/>
        <w:rPr>
          <w:rFonts w:hint="eastAsia" w:ascii="宋体" w:hAnsi="宋体"/>
          <w:color w:val="auto"/>
          <w:sz w:val="24"/>
          <w:highlight w:val="none"/>
        </w:rPr>
      </w:pPr>
      <w:r>
        <w:rPr>
          <w:rFonts w:hint="eastAsia" w:ascii="宋体" w:hAnsi="宋体"/>
          <w:color w:val="auto"/>
          <w:sz w:val="24"/>
          <w:highlight w:val="none"/>
        </w:rPr>
        <w:t>任何变更（如资源、过程、组织结构、已识别的关键控制点等）；</w:t>
      </w:r>
    </w:p>
    <w:p w14:paraId="476883CB">
      <w:pPr>
        <w:numPr>
          <w:ilvl w:val="0"/>
          <w:numId w:val="3"/>
        </w:numPr>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相关</w:t>
      </w:r>
      <w:r>
        <w:rPr>
          <w:rFonts w:hint="eastAsia" w:ascii="宋体" w:hAnsi="宋体"/>
          <w:color w:val="auto"/>
          <w:sz w:val="24"/>
          <w:highlight w:val="none"/>
        </w:rPr>
        <w:t>投诉的处理；</w:t>
      </w:r>
    </w:p>
    <w:p w14:paraId="5FAAC8B1">
      <w:pPr>
        <w:numPr>
          <w:ilvl w:val="0"/>
          <w:numId w:val="3"/>
        </w:numPr>
        <w:spacing w:line="360" w:lineRule="auto"/>
        <w:jc w:val="left"/>
        <w:rPr>
          <w:rFonts w:hint="eastAsia" w:ascii="宋体" w:hAnsi="宋体"/>
          <w:sz w:val="24"/>
          <w:highlight w:val="none"/>
        </w:rPr>
      </w:pPr>
      <w:r>
        <w:rPr>
          <w:rFonts w:hint="eastAsia" w:ascii="宋体" w:hAnsi="宋体"/>
          <w:sz w:val="24"/>
          <w:highlight w:val="none"/>
        </w:rPr>
        <w:t>证书和标志的使用和（或）任何其他对认证资格的引用。</w:t>
      </w:r>
    </w:p>
    <w:p w14:paraId="35C71199">
      <w:pPr>
        <w:numPr>
          <w:ilvl w:val="0"/>
          <w:numId w:val="3"/>
        </w:numPr>
        <w:spacing w:line="360" w:lineRule="auto"/>
        <w:jc w:val="left"/>
        <w:rPr>
          <w:rFonts w:hint="eastAsia" w:ascii="宋体" w:hAnsi="宋体"/>
          <w:color w:val="FF0000"/>
          <w:sz w:val="24"/>
          <w:highlight w:val="yellow"/>
        </w:rPr>
      </w:pPr>
      <w:r>
        <w:rPr>
          <w:rFonts w:hint="eastAsia" w:ascii="宋体" w:hAnsi="宋体"/>
          <w:color w:val="FF0000"/>
          <w:sz w:val="24"/>
          <w:highlight w:val="yellow"/>
          <w:lang w:val="en-US" w:eastAsia="zh-CN"/>
        </w:rPr>
        <w:t>上次审核后发生的重大及以上级别网络安全事件的调查与处理。</w:t>
      </w:r>
    </w:p>
    <w:p w14:paraId="7F69B0E0">
      <w:pPr>
        <w:spacing w:line="360" w:lineRule="auto"/>
        <w:ind w:left="480"/>
        <w:rPr>
          <w:rFonts w:hint="eastAsia" w:ascii="宋体" w:hAnsi="宋体"/>
          <w:sz w:val="24"/>
          <w:highlight w:val="none"/>
        </w:rPr>
      </w:pPr>
      <w:r>
        <w:rPr>
          <w:rFonts w:hint="eastAsia" w:ascii="宋体" w:hAnsi="宋体"/>
          <w:sz w:val="24"/>
          <w:highlight w:val="none"/>
        </w:rPr>
        <w:t>获证客户应保存全部投诉记录，需要时提供认证机构。</w:t>
      </w:r>
    </w:p>
    <w:p w14:paraId="2FB40850">
      <w:pPr>
        <w:pStyle w:val="5"/>
        <w:spacing w:line="360" w:lineRule="auto"/>
        <w:ind w:firstLine="480"/>
        <w:rPr>
          <w:rFonts w:hint="eastAsia"/>
          <w:sz w:val="24"/>
          <w:szCs w:val="24"/>
          <w:highlight w:val="none"/>
          <w:lang w:eastAsia="zh-CN"/>
        </w:rPr>
      </w:pPr>
      <w:r>
        <w:rPr>
          <w:rFonts w:hint="eastAsia"/>
          <w:sz w:val="24"/>
          <w:szCs w:val="24"/>
          <w:highlight w:val="none"/>
        </w:rPr>
        <w:t>CQM根据以上信息对获证客户管理体系进行再评价，确认其是否持续满足认证要求。</w:t>
      </w:r>
    </w:p>
    <w:p w14:paraId="47078AB0">
      <w:pPr>
        <w:pStyle w:val="5"/>
        <w:spacing w:line="360" w:lineRule="auto"/>
        <w:ind w:firstLine="480"/>
        <w:rPr>
          <w:sz w:val="24"/>
          <w:szCs w:val="24"/>
          <w:highlight w:val="none"/>
          <w:lang w:eastAsia="zh-CN"/>
        </w:rPr>
      </w:pPr>
      <w:r>
        <w:rPr>
          <w:rFonts w:hint="eastAsia"/>
          <w:sz w:val="24"/>
          <w:szCs w:val="24"/>
          <w:highlight w:val="none"/>
          <w:lang w:eastAsia="zh-CN"/>
        </w:rPr>
        <w:t>监督审核时，如认证客户没有按时关闭不符合，将可能导致认证证书的暂停或撤销。</w:t>
      </w:r>
    </w:p>
    <w:p w14:paraId="5F0271C3">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2.3</w:t>
      </w:r>
      <w:r>
        <w:rPr>
          <w:rFonts w:hint="eastAsia" w:ascii="宋体" w:hAnsi="宋体"/>
          <w:bCs/>
          <w:sz w:val="24"/>
          <w:highlight w:val="none"/>
        </w:rPr>
        <w:t xml:space="preserve"> 再认证</w:t>
      </w:r>
    </w:p>
    <w:p w14:paraId="7FE1C468">
      <w:pPr>
        <w:pStyle w:val="5"/>
        <w:spacing w:line="360" w:lineRule="auto"/>
        <w:ind w:firstLine="480"/>
        <w:rPr>
          <w:rFonts w:hint="eastAsia"/>
          <w:color w:val="auto"/>
          <w:sz w:val="24"/>
          <w:szCs w:val="24"/>
          <w:highlight w:val="yellow"/>
          <w:lang w:val="en-US" w:eastAsia="zh-CN"/>
        </w:rPr>
      </w:pPr>
      <w:r>
        <w:rPr>
          <w:rFonts w:hint="eastAsia"/>
          <w:color w:val="auto"/>
          <w:sz w:val="24"/>
          <w:szCs w:val="24"/>
          <w:highlight w:val="none"/>
        </w:rPr>
        <w:t>获证客户在证书有效期满前至少三个月，须提出再认证申请</w:t>
      </w:r>
      <w:r>
        <w:rPr>
          <w:rFonts w:hint="eastAsia"/>
          <w:color w:val="auto"/>
          <w:sz w:val="24"/>
          <w:szCs w:val="24"/>
          <w:highlight w:val="none"/>
          <w:lang w:eastAsia="zh-CN"/>
        </w:rPr>
        <w:t>，</w:t>
      </w:r>
      <w:r>
        <w:rPr>
          <w:rFonts w:hint="eastAsia"/>
          <w:color w:val="auto"/>
          <w:sz w:val="24"/>
          <w:szCs w:val="24"/>
          <w:highlight w:val="yellow"/>
          <w:lang w:val="en-US" w:eastAsia="zh-CN"/>
        </w:rPr>
        <w:t>并必须在证书到期前完成现场审核及严重不符合的纠正和纠正措施验证（适用时）</w:t>
      </w:r>
      <w:r>
        <w:rPr>
          <w:rFonts w:hint="eastAsia"/>
          <w:color w:val="auto"/>
          <w:sz w:val="24"/>
          <w:szCs w:val="24"/>
          <w:highlight w:val="yellow"/>
        </w:rPr>
        <w:t>。</w:t>
      </w:r>
      <w:r>
        <w:rPr>
          <w:rFonts w:hint="eastAsia"/>
          <w:color w:val="auto"/>
          <w:sz w:val="24"/>
          <w:szCs w:val="24"/>
          <w:highlight w:val="yellow"/>
          <w:lang w:val="en-US" w:eastAsia="zh-CN"/>
        </w:rPr>
        <w:t>再认证的其他活动可在证书到期后6个月内完成。否则，不能授予再认证。</w:t>
      </w:r>
    </w:p>
    <w:p w14:paraId="5F55AE68">
      <w:pPr>
        <w:keepNext w:val="0"/>
        <w:keepLines w:val="0"/>
        <w:widowControl/>
        <w:suppressLineNumbers w:val="0"/>
        <w:spacing w:line="360" w:lineRule="auto"/>
        <w:ind w:firstLine="480" w:firstLineChars="2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 xml:space="preserve">再认证审核的内容包括： </w:t>
      </w:r>
    </w:p>
    <w:p w14:paraId="05FCE1BB">
      <w:pPr>
        <w:keepNext w:val="0"/>
        <w:keepLines w:val="0"/>
        <w:widowControl/>
        <w:numPr>
          <w:ilvl w:val="0"/>
          <w:numId w:val="4"/>
        </w:numPr>
        <w:suppressLineNumbers w:val="0"/>
        <w:spacing w:line="360" w:lineRule="auto"/>
        <w:ind w:firstLine="480" w:firstLineChars="2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结合其内部环境和外部环境的变化情况，确认获证组织</w:t>
      </w:r>
      <w:r>
        <w:rPr>
          <w:rFonts w:hint="default" w:ascii="宋体" w:hAnsi="宋体" w:eastAsia="宋体" w:cs="Times New Roman"/>
          <w:color w:val="auto"/>
          <w:kern w:val="2"/>
          <w:sz w:val="24"/>
          <w:szCs w:val="24"/>
          <w:highlight w:val="yellow"/>
          <w:lang w:val="en-US" w:eastAsia="zh-CN" w:bidi="ar-SA"/>
        </w:rPr>
        <w:t>ISMS</w:t>
      </w:r>
      <w:r>
        <w:rPr>
          <w:rFonts w:hint="eastAsia" w:ascii="宋体" w:hAnsi="宋体" w:eastAsia="宋体" w:cs="Times New Roman"/>
          <w:color w:val="auto"/>
          <w:kern w:val="2"/>
          <w:sz w:val="24"/>
          <w:szCs w:val="24"/>
          <w:highlight w:val="yellow"/>
          <w:lang w:val="en-US" w:eastAsia="zh-CN" w:bidi="ar-SA"/>
        </w:rPr>
        <w:t xml:space="preserve">有效性及认证范围的持续相关性和适宜性； </w:t>
      </w:r>
    </w:p>
    <w:p w14:paraId="4BFF0C49">
      <w:pPr>
        <w:keepNext w:val="0"/>
        <w:keepLines w:val="0"/>
        <w:widowControl/>
        <w:suppressLineNumbers w:val="0"/>
        <w:spacing w:line="360" w:lineRule="auto"/>
        <w:ind w:firstLine="480" w:firstLineChars="200"/>
        <w:jc w:val="left"/>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2</w:t>
      </w: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ISMS</w:t>
      </w:r>
      <w:r>
        <w:rPr>
          <w:rFonts w:hint="eastAsia" w:ascii="宋体" w:hAnsi="宋体" w:eastAsia="宋体" w:cs="Times New Roman"/>
          <w:color w:val="auto"/>
          <w:kern w:val="2"/>
          <w:sz w:val="24"/>
          <w:szCs w:val="24"/>
          <w:highlight w:val="yellow"/>
          <w:lang w:val="en-US" w:eastAsia="zh-CN" w:bidi="ar-SA"/>
        </w:rPr>
        <w:t xml:space="preserve">绩效持续改进的证实； </w:t>
      </w:r>
    </w:p>
    <w:p w14:paraId="12709516">
      <w:pPr>
        <w:keepNext w:val="0"/>
        <w:keepLines w:val="0"/>
        <w:widowControl/>
        <w:suppressLineNumbers w:val="0"/>
        <w:spacing w:line="360" w:lineRule="auto"/>
        <w:ind w:firstLine="480" w:firstLineChars="200"/>
        <w:jc w:val="left"/>
        <w:rPr>
          <w:rFonts w:hint="eastAsia"/>
          <w:color w:val="auto"/>
          <w:sz w:val="24"/>
          <w:szCs w:val="24"/>
          <w:highlight w:val="yellow"/>
          <w:lang w:val="en-US" w:eastAsia="zh-CN"/>
        </w:rPr>
      </w:pP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3</w:t>
      </w:r>
      <w:r>
        <w:rPr>
          <w:rFonts w:hint="eastAsia" w:ascii="宋体" w:hAnsi="宋体" w:eastAsia="宋体" w:cs="Times New Roman"/>
          <w:color w:val="auto"/>
          <w:kern w:val="2"/>
          <w:sz w:val="24"/>
          <w:szCs w:val="24"/>
          <w:highlight w:val="yellow"/>
          <w:lang w:val="en-US" w:eastAsia="zh-CN" w:bidi="ar-SA"/>
        </w:rPr>
        <w:t>）</w:t>
      </w:r>
      <w:r>
        <w:rPr>
          <w:rFonts w:hint="default" w:ascii="宋体" w:hAnsi="宋体" w:eastAsia="宋体" w:cs="Times New Roman"/>
          <w:color w:val="auto"/>
          <w:kern w:val="2"/>
          <w:sz w:val="24"/>
          <w:szCs w:val="24"/>
          <w:highlight w:val="yellow"/>
          <w:lang w:val="en-US" w:eastAsia="zh-CN" w:bidi="ar-SA"/>
        </w:rPr>
        <w:t>ISMS</w:t>
      </w:r>
      <w:r>
        <w:rPr>
          <w:rFonts w:hint="eastAsia" w:ascii="宋体" w:hAnsi="宋体" w:eastAsia="宋体" w:cs="Times New Roman"/>
          <w:color w:val="auto"/>
          <w:kern w:val="2"/>
          <w:sz w:val="24"/>
          <w:szCs w:val="24"/>
          <w:highlight w:val="yellow"/>
          <w:lang w:val="en-US" w:eastAsia="zh-CN" w:bidi="ar-SA"/>
        </w:rPr>
        <w:t>在实现获证组织目标和</w:t>
      </w:r>
      <w:r>
        <w:rPr>
          <w:rFonts w:hint="default" w:ascii="宋体" w:hAnsi="宋体" w:eastAsia="宋体" w:cs="Times New Roman"/>
          <w:color w:val="auto"/>
          <w:kern w:val="2"/>
          <w:sz w:val="24"/>
          <w:szCs w:val="24"/>
          <w:highlight w:val="yellow"/>
          <w:lang w:val="en-US" w:eastAsia="zh-CN" w:bidi="ar-SA"/>
        </w:rPr>
        <w:t>ISMS</w:t>
      </w:r>
      <w:r>
        <w:rPr>
          <w:rFonts w:hint="eastAsia" w:ascii="宋体" w:hAnsi="宋体" w:eastAsia="宋体" w:cs="Times New Roman"/>
          <w:color w:val="auto"/>
          <w:kern w:val="2"/>
          <w:sz w:val="24"/>
          <w:szCs w:val="24"/>
          <w:highlight w:val="yellow"/>
          <w:lang w:val="en-US" w:eastAsia="zh-CN" w:bidi="ar-SA"/>
        </w:rPr>
        <w:t>预期结果方面的有效性。</w:t>
      </w:r>
    </w:p>
    <w:p w14:paraId="15F5184B">
      <w:pPr>
        <w:pStyle w:val="5"/>
        <w:spacing w:line="360" w:lineRule="auto"/>
        <w:ind w:firstLine="480"/>
        <w:rPr>
          <w:rFonts w:hint="eastAsia"/>
          <w:color w:val="auto"/>
          <w:sz w:val="24"/>
          <w:szCs w:val="24"/>
          <w:highlight w:val="none"/>
        </w:rPr>
      </w:pPr>
      <w:r>
        <w:rPr>
          <w:rFonts w:hint="eastAsia"/>
          <w:color w:val="auto"/>
          <w:sz w:val="24"/>
          <w:szCs w:val="24"/>
          <w:highlight w:val="none"/>
        </w:rPr>
        <w:t>在对获证客户的日常监督中，发现获证客户的出现严重影响管理体系运作的重大变更时，或对获证客户的投诉分析和其他信息表明获证客户不再满足认证要求时，将安排特殊审核或与获证客户商定提前安排再认证审核。</w:t>
      </w:r>
    </w:p>
    <w:p w14:paraId="10FC9D4E">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 </w:t>
      </w:r>
      <w:r>
        <w:rPr>
          <w:rFonts w:hint="eastAsia" w:ascii="宋体" w:hAnsi="宋体"/>
          <w:bCs/>
          <w:sz w:val="24"/>
          <w:highlight w:val="none"/>
        </w:rPr>
        <w:t>特殊审核</w:t>
      </w:r>
    </w:p>
    <w:p w14:paraId="7BE371AA">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.2.4.1 </w:t>
      </w:r>
      <w:r>
        <w:rPr>
          <w:rFonts w:hint="eastAsia" w:ascii="宋体" w:hAnsi="宋体"/>
          <w:bCs/>
          <w:sz w:val="24"/>
          <w:highlight w:val="none"/>
        </w:rPr>
        <w:t>扩大认证范围审核</w:t>
      </w:r>
    </w:p>
    <w:p w14:paraId="268FFED7">
      <w:pPr>
        <w:pStyle w:val="5"/>
        <w:spacing w:line="360" w:lineRule="auto"/>
        <w:ind w:firstLine="480"/>
        <w:rPr>
          <w:rFonts w:hint="eastAsia"/>
          <w:sz w:val="24"/>
          <w:szCs w:val="24"/>
          <w:highlight w:val="none"/>
          <w:lang w:val="en-GB"/>
        </w:rPr>
      </w:pPr>
      <w:r>
        <w:rPr>
          <w:rFonts w:hint="eastAsia"/>
          <w:sz w:val="24"/>
          <w:szCs w:val="24"/>
          <w:highlight w:val="none"/>
          <w:lang w:val="en-GB"/>
        </w:rPr>
        <w:t>针对已获证的客户，</w:t>
      </w:r>
      <w:r>
        <w:rPr>
          <w:rFonts w:hint="eastAsia"/>
          <w:sz w:val="24"/>
          <w:szCs w:val="24"/>
          <w:highlight w:val="none"/>
          <w:lang w:val="en-GB" w:eastAsia="zh-CN"/>
        </w:rPr>
        <w:t>CQM</w:t>
      </w:r>
      <w:r>
        <w:rPr>
          <w:rFonts w:hint="eastAsia"/>
          <w:sz w:val="24"/>
          <w:szCs w:val="24"/>
          <w:highlight w:val="none"/>
          <w:lang w:val="en-GB"/>
        </w:rPr>
        <w:t>对扩大认证范围的申请进行评审，确定能否予以扩大的决定所需的审核活动，这一工作可与监督审核同时进行。</w:t>
      </w:r>
    </w:p>
    <w:p w14:paraId="500BA77C">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.2.4.2</w:t>
      </w:r>
      <w:r>
        <w:rPr>
          <w:rFonts w:hint="eastAsia" w:ascii="宋体" w:hAnsi="宋体"/>
          <w:bCs/>
          <w:sz w:val="24"/>
          <w:highlight w:val="none"/>
        </w:rPr>
        <w:t xml:space="preserve"> 提前较短时间通知的审核</w:t>
      </w:r>
    </w:p>
    <w:p w14:paraId="20192AC9">
      <w:pPr>
        <w:spacing w:line="360" w:lineRule="auto"/>
        <w:ind w:left="-2" w:leftChars="-1" w:firstLine="480" w:firstLineChars="200"/>
        <w:rPr>
          <w:rFonts w:hint="eastAsia" w:ascii="宋体" w:hAnsi="宋体"/>
          <w:sz w:val="24"/>
          <w:highlight w:val="yellow"/>
        </w:rPr>
      </w:pPr>
      <w:bookmarkStart w:id="87" w:name="_Toc9355"/>
      <w:r>
        <w:rPr>
          <w:rFonts w:hint="eastAsia" w:ascii="宋体" w:hAnsi="宋体"/>
          <w:sz w:val="24"/>
          <w:highlight w:val="yellow"/>
          <w:lang w:val="en-US" w:eastAsia="zh-CN"/>
        </w:rPr>
        <w:t>获证客户</w:t>
      </w:r>
      <w:r>
        <w:rPr>
          <w:rFonts w:hint="eastAsia" w:ascii="宋体" w:hAnsi="宋体"/>
          <w:sz w:val="24"/>
          <w:highlight w:val="yellow"/>
        </w:rPr>
        <w:t>若发生下述情况则需增加监督频次，或安排提前较短时间通知的审核：</w:t>
      </w:r>
    </w:p>
    <w:p w14:paraId="63E9DFE6">
      <w:pPr>
        <w:numPr>
          <w:ilvl w:val="0"/>
          <w:numId w:val="5"/>
        </w:numPr>
        <w:spacing w:line="360" w:lineRule="auto"/>
        <w:ind w:left="718" w:leftChars="0"/>
        <w:rPr>
          <w:rFonts w:hint="eastAsia" w:ascii="宋体" w:hAnsi="宋体"/>
          <w:sz w:val="24"/>
          <w:highlight w:val="yellow"/>
        </w:rPr>
      </w:pPr>
      <w:r>
        <w:rPr>
          <w:rFonts w:hint="eastAsia" w:ascii="宋体" w:hAnsi="宋体"/>
          <w:sz w:val="24"/>
          <w:highlight w:val="yellow"/>
        </w:rPr>
        <w:t>获证客户对管理体系进行了重大更改；</w:t>
      </w:r>
    </w:p>
    <w:p w14:paraId="781111BA">
      <w:pPr>
        <w:pStyle w:val="5"/>
        <w:numPr>
          <w:ilvl w:val="0"/>
          <w:numId w:val="5"/>
        </w:numPr>
        <w:spacing w:line="360" w:lineRule="auto"/>
        <w:ind w:left="718" w:leftChars="0" w:firstLine="0" w:firstLineChars="0"/>
        <w:rPr>
          <w:rFonts w:hint="eastAsia"/>
          <w:sz w:val="24"/>
          <w:szCs w:val="24"/>
          <w:highlight w:val="yellow"/>
        </w:rPr>
      </w:pPr>
      <w:r>
        <w:rPr>
          <w:rFonts w:hint="eastAsia"/>
          <w:sz w:val="24"/>
          <w:szCs w:val="24"/>
          <w:highlight w:val="yellow"/>
        </w:rPr>
        <w:t>有足够信息表明获证客户发生了组织机构、生产条件、产品变更等影响到其认证基础的更改；</w:t>
      </w:r>
    </w:p>
    <w:p w14:paraId="52C3AA95">
      <w:pPr>
        <w:pStyle w:val="5"/>
        <w:numPr>
          <w:ilvl w:val="0"/>
          <w:numId w:val="5"/>
        </w:numPr>
        <w:spacing w:line="360" w:lineRule="auto"/>
        <w:ind w:left="718" w:leftChars="0" w:firstLine="0" w:firstLineChars="0"/>
        <w:rPr>
          <w:rFonts w:hint="eastAsia"/>
          <w:sz w:val="24"/>
          <w:szCs w:val="24"/>
          <w:highlight w:val="yellow"/>
        </w:rPr>
      </w:pPr>
      <w:r>
        <w:rPr>
          <w:rFonts w:hint="eastAsia"/>
          <w:sz w:val="24"/>
          <w:szCs w:val="24"/>
          <w:highlight w:val="yellow"/>
        </w:rPr>
        <w:t>获证客户出现</w:t>
      </w:r>
      <w:r>
        <w:rPr>
          <w:rFonts w:hint="eastAsia"/>
          <w:sz w:val="24"/>
          <w:szCs w:val="24"/>
          <w:highlight w:val="yellow"/>
          <w:lang w:val="en-US" w:eastAsia="zh-CN"/>
        </w:rPr>
        <w:t>重大及以上级别网络安全事件</w:t>
      </w:r>
      <w:r>
        <w:rPr>
          <w:rFonts w:hint="eastAsia"/>
          <w:sz w:val="24"/>
          <w:szCs w:val="24"/>
          <w:highlight w:val="yellow"/>
        </w:rPr>
        <w:t>或用户提出对管理体系运行效果的投诉未得到处理时；</w:t>
      </w:r>
    </w:p>
    <w:p w14:paraId="0BCF7F4A">
      <w:pPr>
        <w:pStyle w:val="5"/>
        <w:numPr>
          <w:ilvl w:val="0"/>
          <w:numId w:val="5"/>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sz w:val="24"/>
          <w:szCs w:val="24"/>
          <w:highlight w:val="yellow"/>
          <w:lang w:val="en-GB"/>
        </w:rPr>
        <w:t>获证</w:t>
      </w:r>
      <w:r>
        <w:rPr>
          <w:rFonts w:hint="eastAsia"/>
          <w:sz w:val="24"/>
          <w:szCs w:val="24"/>
          <w:highlight w:val="yellow"/>
          <w:lang w:val="en-GB" w:eastAsia="zh-CN"/>
        </w:rPr>
        <w:t>客</w:t>
      </w:r>
      <w:r>
        <w:rPr>
          <w:rFonts w:hint="eastAsia" w:ascii="宋体" w:hAnsi="宋体" w:eastAsia="宋体" w:cs="Times New Roman"/>
          <w:color w:val="auto"/>
          <w:kern w:val="2"/>
          <w:sz w:val="24"/>
          <w:szCs w:val="24"/>
          <w:highlight w:val="yellow"/>
          <w:lang w:val="en-GB" w:eastAsia="zh-CN" w:bidi="ar-SA"/>
        </w:rPr>
        <w:t>户</w:t>
      </w:r>
      <w:r>
        <w:rPr>
          <w:rFonts w:hint="eastAsia" w:cs="Times New Roman"/>
          <w:color w:val="auto"/>
          <w:kern w:val="2"/>
          <w:sz w:val="24"/>
          <w:szCs w:val="24"/>
          <w:highlight w:val="yellow"/>
          <w:lang w:val="en-US" w:eastAsia="zh-CN" w:bidi="ar-SA"/>
        </w:rPr>
        <w:t>被行政监管部门责令停产停业整顿</w:t>
      </w:r>
      <w:r>
        <w:rPr>
          <w:rFonts w:hint="eastAsia" w:ascii="宋体" w:hAnsi="宋体" w:eastAsia="宋体" w:cs="Times New Roman"/>
          <w:color w:val="auto"/>
          <w:kern w:val="2"/>
          <w:sz w:val="24"/>
          <w:szCs w:val="24"/>
          <w:highlight w:val="yellow"/>
          <w:lang w:val="en-GB" w:eastAsia="zh-CN" w:bidi="ar-SA"/>
        </w:rPr>
        <w:t>；</w:t>
      </w:r>
    </w:p>
    <w:p w14:paraId="6F9DB30D">
      <w:pPr>
        <w:pStyle w:val="5"/>
        <w:numPr>
          <w:ilvl w:val="0"/>
          <w:numId w:val="5"/>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ascii="宋体" w:hAnsi="宋体" w:eastAsia="宋体" w:cs="Times New Roman"/>
          <w:color w:val="auto"/>
          <w:kern w:val="2"/>
          <w:sz w:val="24"/>
          <w:szCs w:val="24"/>
          <w:highlight w:val="yellow"/>
          <w:lang w:val="en-US" w:eastAsia="zh-CN" w:bidi="ar-SA"/>
        </w:rPr>
        <w:t>有需要追踪被暂停的认证证书时</w:t>
      </w:r>
      <w:r>
        <w:rPr>
          <w:rFonts w:hint="eastAsia" w:eastAsia="宋体" w:cs="Times New Roman"/>
          <w:color w:val="auto"/>
          <w:kern w:val="2"/>
          <w:sz w:val="24"/>
          <w:szCs w:val="24"/>
          <w:highlight w:val="yellow"/>
          <w:lang w:val="en-US" w:eastAsia="zh-CN" w:bidi="ar-SA"/>
        </w:rPr>
        <w:t>；</w:t>
      </w:r>
    </w:p>
    <w:p w14:paraId="111D8E93">
      <w:pPr>
        <w:pStyle w:val="3"/>
        <w:numPr>
          <w:ilvl w:val="0"/>
          <w:numId w:val="5"/>
        </w:numPr>
        <w:spacing w:before="0" w:after="0" w:line="360" w:lineRule="auto"/>
        <w:ind w:left="718" w:leftChars="0" w:firstLine="0" w:firstLineChars="0"/>
        <w:rPr>
          <w:rFonts w:hint="eastAsia" w:ascii="宋体" w:hAnsi="宋体" w:eastAsia="宋体" w:cs="Times New Roman"/>
          <w:b w:val="0"/>
          <w:bCs w:val="0"/>
          <w:color w:val="auto"/>
          <w:kern w:val="2"/>
          <w:sz w:val="24"/>
          <w:szCs w:val="24"/>
          <w:highlight w:val="yellow"/>
          <w:lang w:val="en-US" w:eastAsia="zh-CN" w:bidi="ar-SA"/>
        </w:rPr>
      </w:pPr>
      <w:r>
        <w:rPr>
          <w:rFonts w:hint="eastAsia" w:ascii="宋体" w:hAnsi="宋体" w:eastAsia="宋体" w:cs="Times New Roman"/>
          <w:b w:val="0"/>
          <w:bCs w:val="0"/>
          <w:color w:val="auto"/>
          <w:kern w:val="2"/>
          <w:sz w:val="24"/>
          <w:szCs w:val="24"/>
          <w:highlight w:val="yellow"/>
          <w:lang w:val="en-US" w:eastAsia="zh-CN" w:bidi="ar-SA"/>
        </w:rPr>
        <w:t>其他需要考虑的情况。</w:t>
      </w:r>
    </w:p>
    <w:bookmarkEnd w:id="87"/>
    <w:p w14:paraId="4C7B3149">
      <w:pPr>
        <w:pStyle w:val="2"/>
        <w:spacing w:line="600" w:lineRule="auto"/>
        <w:rPr>
          <w:rFonts w:hint="default" w:ascii="宋体" w:hAnsi="宋体"/>
          <w:color w:val="auto"/>
          <w:highlight w:val="none"/>
          <w:lang w:val="en-US"/>
        </w:rPr>
      </w:pPr>
      <w:bookmarkStart w:id="88" w:name="_Toc13141"/>
      <w:bookmarkStart w:id="89" w:name="_Toc30792"/>
      <w:r>
        <w:rPr>
          <w:rFonts w:hint="eastAsia" w:ascii="宋体" w:hAnsi="宋体"/>
          <w:color w:val="auto"/>
          <w:highlight w:val="none"/>
          <w:lang w:val="en-US" w:eastAsia="zh-CN"/>
        </w:rPr>
        <w:t>8</w:t>
      </w:r>
      <w:r>
        <w:rPr>
          <w:rFonts w:hint="eastAsia" w:ascii="宋体" w:hAnsi="宋体"/>
          <w:color w:val="auto"/>
          <w:highlight w:val="none"/>
        </w:rPr>
        <w:t xml:space="preserve"> 不符合</w:t>
      </w:r>
      <w:bookmarkEnd w:id="88"/>
      <w:bookmarkEnd w:id="89"/>
    </w:p>
    <w:p w14:paraId="7BE4ED11">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8.1 审核组应当根据审核发现形成严重或一般不符合，要求受审核方在规定的时限内对不符合进行原因分析、采取相应的纠正和纠正措施（一般不符合可以是纠正措施计划），并提供这些措施的证据。。</w:t>
      </w:r>
    </w:p>
    <w:p w14:paraId="2530D34F">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lang w:val="en-US" w:eastAsia="zh-CN"/>
        </w:rPr>
        <w:t xml:space="preserve">8.2 </w:t>
      </w:r>
      <w:r>
        <w:rPr>
          <w:rFonts w:hint="eastAsia" w:ascii="宋体" w:hAnsi="宋体"/>
          <w:color w:val="auto"/>
          <w:sz w:val="24"/>
          <w:highlight w:val="none"/>
        </w:rPr>
        <w:t>验证可以有书面验证和现场验证，审核组长依据不符合报告的性质进行选择。一般情况下，一般不符合</w:t>
      </w:r>
      <w:r>
        <w:rPr>
          <w:rFonts w:hint="eastAsia" w:ascii="宋体" w:hAnsi="宋体"/>
          <w:color w:val="auto"/>
          <w:sz w:val="24"/>
          <w:highlight w:val="none"/>
          <w:lang w:val="en-US" w:eastAsia="zh-CN"/>
        </w:rPr>
        <w:t>可以</w:t>
      </w:r>
      <w:r>
        <w:rPr>
          <w:rFonts w:hint="eastAsia" w:ascii="宋体" w:hAnsi="宋体"/>
          <w:color w:val="auto"/>
          <w:sz w:val="24"/>
          <w:highlight w:val="none"/>
        </w:rPr>
        <w:t>书面验证，严重不符合视情况可以选择现场验证，也可以书面验证。</w:t>
      </w:r>
    </w:p>
    <w:p w14:paraId="465740B2">
      <w:pPr>
        <w:pStyle w:val="2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highlight w:val="none"/>
          <w:lang w:val="en-US" w:eastAsia="zh-CN"/>
        </w:rPr>
      </w:pPr>
      <w:r>
        <w:rPr>
          <w:rFonts w:hint="eastAsia" w:hAnsi="宋体"/>
          <w:color w:val="auto"/>
          <w:sz w:val="24"/>
          <w:szCs w:val="24"/>
          <w:highlight w:val="none"/>
        </w:rPr>
        <w:t>书面验证时必须验证受审核方所提供的证实性材料的有效性、完整性。对不符合的验证活动通常由审核组长或其他审核员完成。</w:t>
      </w:r>
      <w:r>
        <w:rPr>
          <w:rFonts w:hint="eastAsia" w:ascii="宋体" w:hAnsi="宋体"/>
          <w:color w:val="auto"/>
          <w:sz w:val="24"/>
          <w:highlight w:val="none"/>
          <w:lang w:val="en-US" w:eastAsia="zh-CN"/>
        </w:rPr>
        <w:t>对不符合进行现场验证时</w:t>
      </w:r>
      <w:r>
        <w:rPr>
          <w:rFonts w:hint="eastAsia" w:ascii="宋体" w:hAnsi="宋体" w:eastAsia="宋体" w:cs="Times New Roman"/>
          <w:color w:val="auto"/>
          <w:kern w:val="2"/>
          <w:sz w:val="24"/>
          <w:szCs w:val="24"/>
          <w:highlight w:val="none"/>
          <w:lang w:val="en-US" w:eastAsia="zh-CN" w:bidi="ar-SA"/>
        </w:rPr>
        <w:t>审核组应已审查、接受和验证了纠正和纠正措施及这些措施</w:t>
      </w:r>
      <w:r>
        <w:rPr>
          <w:rFonts w:hint="eastAsia" w:hAnsi="宋体" w:cs="Times New Roman"/>
          <w:color w:val="auto"/>
          <w:kern w:val="2"/>
          <w:sz w:val="24"/>
          <w:szCs w:val="24"/>
          <w:highlight w:val="none"/>
          <w:lang w:val="en-US" w:eastAsia="zh-CN" w:bidi="ar-SA"/>
        </w:rPr>
        <w:t>有效性</w:t>
      </w:r>
      <w:r>
        <w:rPr>
          <w:rFonts w:hint="eastAsia" w:ascii="宋体" w:hAnsi="宋体" w:eastAsia="宋体" w:cs="Times New Roman"/>
          <w:color w:val="auto"/>
          <w:kern w:val="2"/>
          <w:sz w:val="24"/>
          <w:szCs w:val="24"/>
          <w:highlight w:val="none"/>
          <w:lang w:val="en-US" w:eastAsia="zh-CN" w:bidi="ar-SA"/>
        </w:rPr>
        <w:t>的证据</w:t>
      </w:r>
      <w:r>
        <w:rPr>
          <w:rFonts w:hint="eastAsia" w:hAnsi="宋体"/>
          <w:color w:val="auto"/>
          <w:sz w:val="24"/>
          <w:highlight w:val="none"/>
          <w:lang w:val="en-US" w:eastAsia="zh-CN"/>
        </w:rPr>
        <w:t>。</w:t>
      </w:r>
    </w:p>
    <w:p w14:paraId="7E94BBE9">
      <w:pPr>
        <w:pStyle w:val="2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对于多场所组织，如果任一场所出现严重不符合，在得到满意的纠正措施之前不应对整个多场所组织所列的场所进行认证</w:t>
      </w:r>
      <w:r>
        <w:rPr>
          <w:rFonts w:hint="eastAsia" w:ascii="宋体" w:hAnsi="宋体"/>
          <w:color w:val="auto"/>
          <w:sz w:val="24"/>
          <w:highlight w:val="none"/>
          <w:lang w:val="en-US" w:eastAsia="zh-CN"/>
        </w:rPr>
        <w:t>。</w:t>
      </w:r>
    </w:p>
    <w:p w14:paraId="317E52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严重不符合项的验证时限，并至少满足：</w:t>
      </w:r>
    </w:p>
    <w:p w14:paraId="3345283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a）初次认证：在二阶段审核结束之日起6个月内完成；</w:t>
      </w:r>
    </w:p>
    <w:p w14:paraId="79D7353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b）监督审核：在审核结束之日起</w:t>
      </w:r>
      <w:r>
        <w:rPr>
          <w:rFonts w:hint="eastAsia" w:ascii="宋体" w:hAnsi="宋体"/>
          <w:bCs/>
          <w:iCs/>
          <w:color w:val="auto"/>
          <w:sz w:val="24"/>
          <w:highlight w:val="yellow"/>
          <w:lang w:val="en-US" w:eastAsia="zh-CN"/>
        </w:rPr>
        <w:t>3个月</w:t>
      </w:r>
      <w:r>
        <w:rPr>
          <w:rFonts w:hint="eastAsia" w:ascii="宋体" w:hAnsi="宋体"/>
          <w:bCs/>
          <w:iCs/>
          <w:color w:val="auto"/>
          <w:sz w:val="24"/>
          <w:highlight w:val="none"/>
          <w:lang w:val="en-US" w:eastAsia="zh-CN"/>
        </w:rPr>
        <w:t>内完成；</w:t>
      </w:r>
    </w:p>
    <w:p w14:paraId="303C3F4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c）再认证：在原证书到期前完成。</w:t>
      </w:r>
    </w:p>
    <w:p w14:paraId="6980C2A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bCs/>
          <w:iCs/>
          <w:color w:val="auto"/>
          <w:sz w:val="24"/>
          <w:highlight w:val="none"/>
          <w:lang w:val="en-US" w:eastAsia="zh-CN"/>
        </w:rPr>
      </w:pPr>
      <w:r>
        <w:rPr>
          <w:rFonts w:hint="eastAsia" w:ascii="宋体" w:hAnsi="宋体"/>
          <w:bCs/>
          <w:iCs/>
          <w:color w:val="auto"/>
          <w:sz w:val="24"/>
          <w:highlight w:val="none"/>
          <w:lang w:val="en-US" w:eastAsia="zh-CN"/>
        </w:rPr>
        <w:t xml:space="preserve">8.4 </w:t>
      </w:r>
      <w:r>
        <w:rPr>
          <w:rFonts w:hint="eastAsia" w:ascii="宋体" w:hAnsi="宋体"/>
          <w:color w:val="auto"/>
          <w:sz w:val="24"/>
          <w:highlight w:val="none"/>
        </w:rPr>
        <w:t>一般不符合</w:t>
      </w:r>
      <w:r>
        <w:rPr>
          <w:rFonts w:hint="eastAsia" w:ascii="宋体" w:hAnsi="宋体"/>
          <w:color w:val="auto"/>
          <w:sz w:val="24"/>
          <w:highlight w:val="none"/>
          <w:lang w:val="en-US" w:eastAsia="zh-CN"/>
        </w:rPr>
        <w:t>项的验证</w:t>
      </w:r>
      <w:r>
        <w:rPr>
          <w:rFonts w:hint="eastAsia" w:ascii="宋体" w:hAnsi="宋体"/>
          <w:color w:val="auto"/>
          <w:sz w:val="24"/>
          <w:highlight w:val="none"/>
        </w:rPr>
        <w:t>应当在一个月内</w:t>
      </w:r>
      <w:r>
        <w:rPr>
          <w:rFonts w:hint="eastAsia" w:ascii="宋体" w:hAnsi="宋体"/>
          <w:color w:val="auto"/>
          <w:sz w:val="24"/>
          <w:highlight w:val="none"/>
          <w:lang w:val="en-US" w:eastAsia="zh-CN"/>
        </w:rPr>
        <w:t>完成</w:t>
      </w:r>
      <w:r>
        <w:rPr>
          <w:rFonts w:hint="eastAsia" w:ascii="宋体" w:hAnsi="宋体"/>
          <w:color w:val="auto"/>
          <w:sz w:val="24"/>
          <w:highlight w:val="none"/>
        </w:rPr>
        <w:t>。</w:t>
      </w:r>
    </w:p>
    <w:p w14:paraId="134248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8.5 对于认证组织未能在规定的时限完成对不符合所采取措施的情况，审核组不应当给予该受审核方推荐认证、保持认证或再认证。</w:t>
      </w:r>
    </w:p>
    <w:p w14:paraId="3AEEE80D">
      <w:pPr>
        <w:pStyle w:val="2"/>
        <w:spacing w:line="600" w:lineRule="auto"/>
        <w:rPr>
          <w:rFonts w:hint="eastAsia" w:ascii="宋体" w:hAnsi="宋体"/>
          <w:color w:val="auto"/>
          <w:highlight w:val="none"/>
        </w:rPr>
      </w:pPr>
      <w:bookmarkStart w:id="90" w:name="_Toc3969"/>
      <w:bookmarkStart w:id="91" w:name="_Toc13227"/>
      <w:r>
        <w:rPr>
          <w:rFonts w:hint="eastAsia" w:ascii="宋体" w:hAnsi="宋体"/>
          <w:color w:val="auto"/>
          <w:highlight w:val="none"/>
          <w:lang w:val="en-US" w:eastAsia="zh-CN"/>
        </w:rPr>
        <w:t>9</w:t>
      </w:r>
      <w:r>
        <w:rPr>
          <w:rFonts w:hint="eastAsia" w:ascii="宋体" w:hAnsi="宋体"/>
          <w:color w:val="auto"/>
          <w:highlight w:val="none"/>
        </w:rPr>
        <w:t xml:space="preserve"> 审核报告</w:t>
      </w:r>
      <w:bookmarkEnd w:id="90"/>
      <w:bookmarkEnd w:id="91"/>
    </w:p>
    <w:p w14:paraId="017139B3">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 审核组长应确保审核报告的编制，并应对审核报告的内容负责。多场所组织审核时，如果不只一个审核组参与了整个管理体系的审核，应由指定的一名审核组长负责编写综合审核报告。</w:t>
      </w:r>
    </w:p>
    <w:p w14:paraId="6F1B2562">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9.2 审核报告提供对审核的准确、简明和清晰的记录，审核报告的内容反映受审核方管理体系的真实状况，描述对照相应认证标准的符合性和有效性的客观证据信息，认证组织管理体系所取得的绩效以及与其预期管理体系目标之间存在的差距和改进机会，对认证结论的推荐意见。以便为认证决定提供充分的信息。</w:t>
      </w:r>
    </w:p>
    <w:p w14:paraId="441AFBDA">
      <w:pPr>
        <w:pStyle w:val="2"/>
        <w:bidi w:val="0"/>
        <w:spacing w:line="480" w:lineRule="auto"/>
        <w:rPr>
          <w:rFonts w:hint="default"/>
          <w:highlight w:val="yellow"/>
          <w:lang w:val="en-US" w:eastAsia="zh-CN"/>
        </w:rPr>
      </w:pPr>
      <w:bookmarkStart w:id="92" w:name="_Toc12829"/>
      <w:r>
        <w:rPr>
          <w:rFonts w:hint="eastAsia"/>
          <w:highlight w:val="yellow"/>
          <w:lang w:val="en-US" w:eastAsia="zh-CN"/>
        </w:rPr>
        <w:t>10 认证资料保存</w:t>
      </w:r>
      <w:bookmarkEnd w:id="92"/>
    </w:p>
    <w:p w14:paraId="3C9CB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为了证实认证活动的实施，获证组织应留存认证证书有效期内相应的认证</w:t>
      </w:r>
      <w:r>
        <w:rPr>
          <w:rFonts w:hint="eastAsia" w:asciiTheme="minorEastAsia" w:hAnsiTheme="minorEastAsia" w:eastAsiaTheme="minorEastAsia" w:cstheme="minorEastAsia"/>
          <w:color w:val="000000"/>
          <w:kern w:val="0"/>
          <w:sz w:val="24"/>
          <w:szCs w:val="24"/>
          <w:highlight w:val="yellow"/>
          <w:lang w:val="en-US" w:eastAsia="zh-CN" w:bidi="ar"/>
        </w:rPr>
        <w:t>资料</w:t>
      </w:r>
      <w:r>
        <w:rPr>
          <w:rFonts w:hint="default" w:asciiTheme="minorEastAsia" w:hAnsiTheme="minorEastAsia" w:eastAsiaTheme="minorEastAsia" w:cstheme="minorEastAsia"/>
          <w:color w:val="000000"/>
          <w:kern w:val="0"/>
          <w:sz w:val="24"/>
          <w:szCs w:val="24"/>
          <w:highlight w:val="yellow"/>
          <w:lang w:val="en-US" w:eastAsia="zh-CN" w:bidi="ar"/>
        </w:rPr>
        <w:t>，至少包括：</w:t>
      </w:r>
    </w:p>
    <w:p w14:paraId="2E7E6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（1）认证合同；</w:t>
      </w:r>
    </w:p>
    <w:p w14:paraId="0E0444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（2）审核计划；</w:t>
      </w:r>
    </w:p>
    <w:p w14:paraId="5781B9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（3）首、末次会议签到表；</w:t>
      </w:r>
    </w:p>
    <w:p w14:paraId="1B2B80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（4）不符合报告及原因分析和纠正措施；</w:t>
      </w:r>
    </w:p>
    <w:p w14:paraId="1C486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（5）审核报告；</w:t>
      </w:r>
    </w:p>
    <w:p w14:paraId="21EC8C83">
      <w:pPr>
        <w:spacing w:line="360" w:lineRule="auto"/>
        <w:ind w:firstLine="480" w:firstLineChars="200"/>
        <w:rPr>
          <w:rFonts w:hint="default" w:ascii="宋体" w:hAnsi="宋体"/>
          <w:color w:val="auto"/>
          <w:sz w:val="24"/>
          <w:highlight w:val="yellow"/>
          <w:lang w:val="en-US" w:eastAsia="zh-CN"/>
        </w:rPr>
      </w:pPr>
      <w:r>
        <w:rPr>
          <w:rFonts w:hint="default" w:asciiTheme="minorEastAsia" w:hAnsiTheme="minorEastAsia" w:eastAsiaTheme="minorEastAsia" w:cstheme="minorEastAsia"/>
          <w:color w:val="000000"/>
          <w:kern w:val="0"/>
          <w:sz w:val="24"/>
          <w:szCs w:val="24"/>
          <w:highlight w:val="yellow"/>
          <w:lang w:val="en-US" w:eastAsia="zh-CN" w:bidi="ar"/>
        </w:rPr>
        <w:t>（6）暂停、撤销通知（适用时）。</w:t>
      </w:r>
    </w:p>
    <w:p w14:paraId="78D026B0">
      <w:pPr>
        <w:pStyle w:val="2"/>
        <w:spacing w:line="360" w:lineRule="auto"/>
        <w:rPr>
          <w:color w:val="000000"/>
          <w:highlight w:val="none"/>
        </w:rPr>
      </w:pPr>
      <w:bookmarkStart w:id="93" w:name="_Toc4952"/>
      <w:bookmarkStart w:id="94" w:name="_Toc30471"/>
      <w:bookmarkStart w:id="95" w:name="_Toc12520"/>
      <w:bookmarkStart w:id="96" w:name="_Toc3051"/>
      <w:bookmarkStart w:id="97" w:name="_Toc24304"/>
      <w:r>
        <w:rPr>
          <w:rFonts w:hint="eastAsia"/>
          <w:highlight w:val="none"/>
          <w:lang w:val="en-US" w:eastAsia="zh-CN"/>
        </w:rPr>
        <w:t>11</w:t>
      </w:r>
      <w:r>
        <w:rPr>
          <w:rFonts w:hint="eastAsia"/>
          <w:highlight w:val="none"/>
        </w:rPr>
        <w:t xml:space="preserve"> 认证的批</w:t>
      </w:r>
      <w:r>
        <w:rPr>
          <w:rFonts w:hint="eastAsia"/>
          <w:color w:val="000000"/>
          <w:highlight w:val="none"/>
        </w:rPr>
        <w:t>准、</w:t>
      </w:r>
      <w:r>
        <w:rPr>
          <w:rFonts w:hint="eastAsia"/>
          <w:color w:val="000000"/>
          <w:highlight w:val="none"/>
          <w:lang w:eastAsia="zh-CN"/>
        </w:rPr>
        <w:t>拒绝、</w:t>
      </w:r>
      <w:r>
        <w:rPr>
          <w:rFonts w:hint="eastAsia"/>
          <w:color w:val="000000"/>
          <w:highlight w:val="none"/>
        </w:rPr>
        <w:t>保持、</w:t>
      </w:r>
      <w:r>
        <w:rPr>
          <w:rFonts w:hint="eastAsia"/>
          <w:color w:val="000000"/>
          <w:highlight w:val="none"/>
          <w:lang w:val="en-US" w:eastAsia="zh-CN"/>
        </w:rPr>
        <w:t>变更、</w:t>
      </w:r>
      <w:r>
        <w:rPr>
          <w:rFonts w:hint="eastAsia"/>
          <w:color w:val="000000"/>
          <w:highlight w:val="none"/>
        </w:rPr>
        <w:t>扩大、缩小、暂停、恢复和撤销的条件和程序</w:t>
      </w:r>
      <w:bookmarkEnd w:id="93"/>
      <w:bookmarkEnd w:id="94"/>
      <w:bookmarkEnd w:id="95"/>
      <w:bookmarkEnd w:id="96"/>
      <w:bookmarkEnd w:id="97"/>
    </w:p>
    <w:p w14:paraId="51A22870">
      <w:pPr>
        <w:pStyle w:val="3"/>
        <w:spacing w:before="0" w:after="0" w:line="360" w:lineRule="auto"/>
        <w:rPr>
          <w:rFonts w:hint="eastAsia" w:ascii="宋体" w:hAnsi="宋体" w:eastAsia="宋体"/>
          <w:color w:val="000000"/>
          <w:sz w:val="24"/>
          <w:highlight w:val="none"/>
          <w:lang w:val="en-US" w:eastAsia="zh-CN"/>
        </w:rPr>
      </w:pPr>
      <w:bookmarkStart w:id="98" w:name="_Toc30897"/>
      <w:r>
        <w:rPr>
          <w:rFonts w:hint="eastAsia" w:ascii="宋体" w:hAnsi="宋体"/>
          <w:color w:val="auto"/>
          <w:sz w:val="24"/>
          <w:highlight w:val="yellow"/>
          <w:lang w:val="en-US" w:eastAsia="zh-CN"/>
        </w:rPr>
        <w:t xml:space="preserve">    </w:t>
      </w:r>
      <w:r>
        <w:rPr>
          <w:rFonts w:hint="eastAsia" w:ascii="宋体" w:hAnsi="宋体" w:eastAsia="宋体" w:cs="Times New Roman"/>
          <w:b w:val="0"/>
          <w:bCs/>
          <w:color w:val="000000"/>
          <w:kern w:val="2"/>
          <w:sz w:val="24"/>
          <w:szCs w:val="24"/>
          <w:highlight w:val="yellow"/>
          <w:lang w:val="en-US" w:eastAsia="zh-CN" w:bidi="ar-SA"/>
        </w:rPr>
        <w:t>见《授予、拒绝、保持、变更、暂停（恢复）、注销或撤销认证以及扩大或缩小认证范围规定》。</w:t>
      </w:r>
    </w:p>
    <w:bookmarkEnd w:id="98"/>
    <w:p w14:paraId="779FDC29">
      <w:pPr>
        <w:pStyle w:val="2"/>
        <w:spacing w:line="600" w:lineRule="auto"/>
        <w:rPr>
          <w:rFonts w:hint="eastAsia" w:ascii="宋体" w:hAnsi="宋体"/>
          <w:highlight w:val="none"/>
        </w:rPr>
      </w:pPr>
      <w:bookmarkStart w:id="99" w:name="_Toc28204"/>
      <w:bookmarkStart w:id="100" w:name="_Toc19746"/>
      <w:bookmarkStart w:id="101" w:name="_Toc19860"/>
      <w:bookmarkStart w:id="102" w:name="_Toc8695"/>
      <w:bookmarkStart w:id="103" w:name="_Toc15102"/>
      <w:r>
        <w:rPr>
          <w:rFonts w:hint="eastAsia" w:ascii="宋体" w:hAnsi="宋体"/>
          <w:highlight w:val="none"/>
          <w:lang w:val="en-US" w:eastAsia="zh-CN"/>
        </w:rPr>
        <w:t>12</w:t>
      </w:r>
      <w:r>
        <w:rPr>
          <w:rFonts w:hint="eastAsia" w:ascii="宋体" w:hAnsi="宋体"/>
          <w:highlight w:val="none"/>
        </w:rPr>
        <w:t xml:space="preserve"> 认证证书和认证标志</w:t>
      </w:r>
      <w:bookmarkEnd w:id="99"/>
      <w:bookmarkEnd w:id="100"/>
      <w:bookmarkEnd w:id="101"/>
      <w:bookmarkEnd w:id="102"/>
      <w:bookmarkEnd w:id="103"/>
    </w:p>
    <w:p w14:paraId="4BE28D1E">
      <w:pPr>
        <w:pStyle w:val="3"/>
        <w:spacing w:before="0" w:after="0" w:line="360" w:lineRule="auto"/>
        <w:rPr>
          <w:rFonts w:hint="eastAsia" w:ascii="宋体" w:hAnsi="宋体" w:eastAsia="宋体"/>
          <w:sz w:val="24"/>
          <w:highlight w:val="none"/>
        </w:rPr>
      </w:pPr>
      <w:bookmarkStart w:id="104" w:name="_Toc15233"/>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.1 认证证书和认证标志</w:t>
      </w:r>
      <w:bookmarkEnd w:id="104"/>
    </w:p>
    <w:p w14:paraId="12B29A9D">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.1.1 认证证书</w:t>
      </w:r>
    </w:p>
    <w:p w14:paraId="7EAEB79D">
      <w:pPr>
        <w:spacing w:line="360" w:lineRule="auto"/>
        <w:rPr>
          <w:rFonts w:hint="eastAsia" w:ascii="宋体" w:hAnsi="宋体"/>
          <w:bCs/>
          <w:color w:val="000000"/>
          <w:sz w:val="24"/>
          <w:highlight w:val="yellow"/>
        </w:rPr>
      </w:pPr>
      <w:r>
        <w:rPr>
          <w:rFonts w:hint="eastAsia" w:ascii="宋体" w:hAnsi="宋体"/>
          <w:sz w:val="24"/>
          <w:highlight w:val="yellow"/>
          <w:lang w:val="en-US" w:eastAsia="zh-CN"/>
        </w:rPr>
        <w:t xml:space="preserve">12.1.1.1 </w:t>
      </w:r>
      <w:r>
        <w:rPr>
          <w:rFonts w:hint="eastAsia" w:ascii="宋体" w:hAnsi="宋体"/>
          <w:bCs/>
          <w:color w:val="000000"/>
          <w:sz w:val="24"/>
          <w:highlight w:val="yellow"/>
        </w:rPr>
        <w:t>认证证书包含以下内容：</w:t>
      </w:r>
    </w:p>
    <w:p w14:paraId="74A0BFF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（1）获证组织名称、统一社会信用代码、</w:t>
      </w:r>
      <w:r>
        <w:rPr>
          <w:rFonts w:hint="eastAsia" w:ascii="宋体" w:hAnsi="宋体"/>
          <w:bCs/>
          <w:color w:val="000000"/>
          <w:sz w:val="24"/>
          <w:highlight w:val="yellow"/>
          <w:lang w:val="en-US" w:eastAsia="zh-CN"/>
        </w:rPr>
        <w:t>住所</w:t>
      </w:r>
      <w:r>
        <w:rPr>
          <w:rFonts w:hint="eastAsia" w:ascii="宋体" w:hAnsi="宋体"/>
          <w:bCs/>
          <w:color w:val="000000"/>
          <w:sz w:val="24"/>
          <w:highlight w:val="yellow"/>
        </w:rPr>
        <w:t>、认证地址。若覆盖多场所，应表述认证所覆盖的所有场所的地址信息；</w:t>
      </w:r>
    </w:p>
    <w:p w14:paraId="6947FE2D">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（2）获证组织</w:t>
      </w:r>
      <w:r>
        <w:rPr>
          <w:rFonts w:hint="eastAsia" w:ascii="宋体" w:hAnsi="宋体"/>
          <w:bCs/>
          <w:color w:val="000000"/>
          <w:sz w:val="24"/>
          <w:highlight w:val="yellow"/>
          <w:lang w:val="en-US" w:eastAsia="zh-CN"/>
        </w:rPr>
        <w:t>的管理体系</w:t>
      </w:r>
      <w:r>
        <w:rPr>
          <w:rFonts w:hint="eastAsia" w:ascii="宋体" w:hAnsi="宋体"/>
          <w:bCs/>
          <w:color w:val="000000"/>
          <w:sz w:val="24"/>
          <w:highlight w:val="yellow"/>
        </w:rPr>
        <w:t>所覆盖的范围；包括每个场所相应的认证范围（适用时）；</w:t>
      </w:r>
    </w:p>
    <w:p w14:paraId="7356D0D0">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（3）认证依据的标准所采用的当时有效版本的完整标准号；</w:t>
      </w:r>
    </w:p>
    <w:p w14:paraId="0CBCE23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（4）</w:t>
      </w:r>
      <w:r>
        <w:rPr>
          <w:rFonts w:hint="default" w:ascii="宋体" w:hAnsi="宋体"/>
          <w:bCs/>
          <w:color w:val="000000"/>
          <w:sz w:val="24"/>
          <w:highlight w:val="yellow"/>
        </w:rPr>
        <w:t>认证</w:t>
      </w:r>
      <w:r>
        <w:rPr>
          <w:rFonts w:hint="eastAsia" w:ascii="宋体" w:hAnsi="宋体"/>
          <w:bCs/>
          <w:color w:val="000000"/>
          <w:sz w:val="24"/>
          <w:highlight w:val="yellow"/>
        </w:rPr>
        <w:t>证书</w:t>
      </w:r>
      <w:r>
        <w:rPr>
          <w:rFonts w:hint="eastAsia" w:ascii="宋体" w:hAnsi="宋体"/>
          <w:bCs/>
          <w:color w:val="000000"/>
          <w:sz w:val="24"/>
          <w:highlight w:val="yellow"/>
          <w:lang w:val="en-US" w:eastAsia="zh-CN"/>
        </w:rPr>
        <w:t>生效</w:t>
      </w:r>
      <w:r>
        <w:rPr>
          <w:rFonts w:hint="eastAsia" w:ascii="宋体" w:hAnsi="宋体"/>
          <w:bCs/>
          <w:color w:val="000000"/>
          <w:sz w:val="24"/>
          <w:highlight w:val="yellow"/>
        </w:rPr>
        <w:t>日期和有效截止日期，</w:t>
      </w:r>
      <w:r>
        <w:rPr>
          <w:rFonts w:hint="default" w:ascii="宋体" w:hAnsi="宋体"/>
          <w:bCs/>
          <w:color w:val="000000"/>
          <w:sz w:val="24"/>
          <w:highlight w:val="yellow"/>
        </w:rPr>
        <w:t>认证</w:t>
      </w:r>
      <w:r>
        <w:rPr>
          <w:rFonts w:hint="eastAsia" w:ascii="宋体" w:hAnsi="宋体"/>
          <w:bCs/>
          <w:color w:val="000000"/>
          <w:sz w:val="24"/>
          <w:highlight w:val="yellow"/>
        </w:rPr>
        <w:t>证书应注明：</w:t>
      </w:r>
      <w:r>
        <w:rPr>
          <w:rFonts w:hint="eastAsia" w:ascii="宋体" w:hAnsi="宋体"/>
          <w:bCs/>
          <w:color w:val="000000"/>
          <w:sz w:val="24"/>
          <w:highlight w:val="yellow"/>
          <w:lang w:val="en-US" w:eastAsia="zh-CN"/>
        </w:rPr>
        <w:t>年度监督审核的《确认证书》用以证实本证书的持续有</w:t>
      </w:r>
      <w:r>
        <w:rPr>
          <w:rFonts w:hint="eastAsia" w:ascii="宋体" w:hAnsi="宋体"/>
          <w:bCs/>
          <w:color w:val="000000"/>
          <w:sz w:val="24"/>
          <w:highlight w:val="yellow"/>
        </w:rPr>
        <w:t>效</w:t>
      </w:r>
      <w:r>
        <w:rPr>
          <w:rFonts w:hint="eastAsia" w:ascii="宋体" w:hAnsi="宋体"/>
          <w:bCs/>
          <w:color w:val="000000"/>
          <w:sz w:val="24"/>
          <w:highlight w:val="yellow"/>
          <w:lang w:val="en-US" w:eastAsia="zh-CN"/>
        </w:rPr>
        <w:t>性</w:t>
      </w:r>
      <w:r>
        <w:rPr>
          <w:rFonts w:hint="eastAsia" w:ascii="宋体" w:hAnsi="宋体"/>
          <w:bCs/>
          <w:color w:val="000000"/>
          <w:sz w:val="24"/>
          <w:highlight w:val="yellow"/>
        </w:rPr>
        <w:t>的提示信息</w:t>
      </w:r>
      <w:r>
        <w:rPr>
          <w:rFonts w:hint="default" w:ascii="宋体" w:hAnsi="宋体"/>
          <w:bCs/>
          <w:color w:val="000000"/>
          <w:sz w:val="24"/>
          <w:highlight w:val="yellow"/>
        </w:rPr>
        <w:t>；</w:t>
      </w:r>
    </w:p>
    <w:p w14:paraId="7CD1C6E7">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（5）证书编号；</w:t>
      </w:r>
    </w:p>
    <w:p w14:paraId="22C7E93E">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（6）</w:t>
      </w:r>
      <w:r>
        <w:rPr>
          <w:rFonts w:hint="eastAsia" w:ascii="宋体" w:hAnsi="宋体"/>
          <w:bCs/>
          <w:color w:val="000000"/>
          <w:sz w:val="24"/>
          <w:highlight w:val="yellow"/>
          <w:lang w:val="en-US" w:eastAsia="zh-CN"/>
        </w:rPr>
        <w:t>方圆标志认证集团</w:t>
      </w:r>
      <w:r>
        <w:rPr>
          <w:rFonts w:hint="eastAsia" w:ascii="宋体" w:hAnsi="宋体"/>
          <w:bCs/>
          <w:color w:val="000000"/>
          <w:sz w:val="24"/>
          <w:highlight w:val="yellow"/>
        </w:rPr>
        <w:t>、地址；</w:t>
      </w:r>
    </w:p>
    <w:p w14:paraId="7F600B5F">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（7）认证标志、相关的认可标识及认可注册号（适用时）；</w:t>
      </w:r>
    </w:p>
    <w:p w14:paraId="7BC361F5">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（8）</w:t>
      </w:r>
      <w:r>
        <w:rPr>
          <w:rFonts w:hint="default" w:ascii="宋体" w:hAnsi="宋体"/>
          <w:bCs/>
          <w:color w:val="000000"/>
          <w:sz w:val="24"/>
          <w:highlight w:val="yellow"/>
        </w:rPr>
        <w:t>认证</w:t>
      </w:r>
      <w:r>
        <w:rPr>
          <w:rFonts w:hint="eastAsia" w:ascii="宋体" w:hAnsi="宋体"/>
          <w:bCs/>
          <w:color w:val="000000"/>
          <w:sz w:val="24"/>
          <w:highlight w:val="yellow"/>
        </w:rPr>
        <w:t>证书信息及</w:t>
      </w:r>
      <w:r>
        <w:rPr>
          <w:rFonts w:hint="default" w:ascii="宋体" w:hAnsi="宋体"/>
          <w:bCs/>
          <w:color w:val="000000"/>
          <w:sz w:val="24"/>
          <w:highlight w:val="yellow"/>
        </w:rPr>
        <w:t>认证</w:t>
      </w:r>
      <w:r>
        <w:rPr>
          <w:rFonts w:hint="eastAsia" w:ascii="宋体" w:hAnsi="宋体"/>
          <w:bCs/>
          <w:color w:val="000000"/>
          <w:sz w:val="24"/>
          <w:highlight w:val="yellow"/>
        </w:rPr>
        <w:t>证书状态的查询途径。</w:t>
      </w:r>
    </w:p>
    <w:p w14:paraId="3CDD1E66">
      <w:pPr>
        <w:spacing w:line="360" w:lineRule="auto"/>
        <w:rPr>
          <w:rFonts w:hint="eastAsia" w:ascii="宋体" w:hAnsi="宋体"/>
          <w:sz w:val="24"/>
          <w:highlight w:val="none"/>
        </w:rPr>
      </w:pPr>
      <w:r>
        <w:rPr>
          <w:rFonts w:hint="eastAsia" w:ascii="宋体" w:hAnsi="宋体"/>
          <w:sz w:val="24"/>
          <w:highlight w:val="yellow"/>
          <w:lang w:val="en-US" w:eastAsia="zh-CN"/>
        </w:rPr>
        <w:t xml:space="preserve">12.1.1.2 </w:t>
      </w:r>
      <w:r>
        <w:rPr>
          <w:rFonts w:hint="eastAsia" w:ascii="宋体" w:hAnsi="宋体"/>
          <w:sz w:val="24"/>
          <w:highlight w:val="none"/>
        </w:rPr>
        <w:t>初次认证认证证书有效期最长为3年。再认证的认证证书有效期不超过最近一次有效认证证书截止期再加3年。</w:t>
      </w:r>
    </w:p>
    <w:p w14:paraId="4A780E36">
      <w:pPr>
        <w:spacing w:line="360" w:lineRule="auto"/>
        <w:ind w:firstLine="480" w:firstLineChars="200"/>
        <w:rPr>
          <w:rFonts w:hint="eastAsia" w:ascii="宋体" w:hAnsi="宋体"/>
          <w:sz w:val="24"/>
          <w:highlight w:val="none"/>
        </w:rPr>
      </w:pPr>
      <w:r>
        <w:rPr>
          <w:rFonts w:hint="eastAsia" w:ascii="宋体" w:hAnsi="宋体"/>
          <w:sz w:val="24"/>
          <w:highlight w:val="none"/>
        </w:rPr>
        <w:t>通常情况下，获证客户应在当前认证证书截止期前至少3个月接受再认证审核或已做好接受再认证审核的准备。否则，</w:t>
      </w:r>
      <w:r>
        <w:rPr>
          <w:rFonts w:hint="eastAsia" w:ascii="宋体" w:hAnsi="宋体"/>
          <w:sz w:val="24"/>
          <w:highlight w:val="none"/>
          <w:lang w:val="en-US" w:eastAsia="zh-CN"/>
        </w:rPr>
        <w:t>可能</w:t>
      </w:r>
      <w:r>
        <w:rPr>
          <w:rFonts w:hint="eastAsia" w:ascii="宋体" w:hAnsi="宋体"/>
          <w:sz w:val="24"/>
          <w:highlight w:val="none"/>
        </w:rPr>
        <w:t>导致CQM的认证决定无法在原认证证书到期前作出时，再认证证书有效期将不足3年。</w:t>
      </w:r>
    </w:p>
    <w:p w14:paraId="74F529EF">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 xml:space="preserve"> 认证标志</w:t>
      </w:r>
    </w:p>
    <w:p w14:paraId="7EDACCE0">
      <w:pPr>
        <w:spacing w:line="360" w:lineRule="auto"/>
        <w:rPr>
          <w:rFonts w:hint="eastAsia" w:ascii="宋体" w:hAnsi="宋体"/>
          <w:sz w:val="24"/>
          <w:highlight w:val="none"/>
        </w:rPr>
      </w:pPr>
      <w:r>
        <w:rPr>
          <w:rFonts w:hint="eastAsia" w:ascii="宋体" w:hAnsi="宋体"/>
          <w:sz w:val="24"/>
          <w:highlight w:val="none"/>
        </w:rPr>
        <w:t xml:space="preserve"> </w:t>
      </w:r>
      <w:r>
        <w:rPr>
          <w:highlight w:val="none"/>
        </w:rPr>
        <w:drawing>
          <wp:anchor distT="0" distB="0" distL="114300" distR="114300" simplePos="0" relativeHeight="251665408" behindDoc="0" locked="0" layoutInCell="1" allowOverlap="1">
            <wp:simplePos x="0" y="0"/>
            <wp:positionH relativeFrom="column">
              <wp:posOffset>435610</wp:posOffset>
            </wp:positionH>
            <wp:positionV relativeFrom="paragraph">
              <wp:posOffset>79375</wp:posOffset>
            </wp:positionV>
            <wp:extent cx="685800" cy="685800"/>
            <wp:effectExtent l="0" t="0" r="0" b="0"/>
            <wp:wrapNone/>
            <wp:docPr id="2" name="图片 4" descr="CQ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QM-R"/>
                    <pic:cNvPicPr>
                      <a:picLocks noChangeAspect="1"/>
                    </pic:cNvPicPr>
                  </pic:nvPicPr>
                  <pic:blipFill>
                    <a:blip r:embed="rId17"/>
                    <a:stretch>
                      <a:fillRect/>
                    </a:stretch>
                  </pic:blipFill>
                  <pic:spPr>
                    <a:xfrm>
                      <a:off x="0" y="0"/>
                      <a:ext cx="685800" cy="685800"/>
                    </a:xfrm>
                    <a:prstGeom prst="rect">
                      <a:avLst/>
                    </a:prstGeom>
                    <a:noFill/>
                    <a:ln>
                      <a:noFill/>
                    </a:ln>
                  </pic:spPr>
                </pic:pic>
              </a:graphicData>
            </a:graphic>
          </wp:anchor>
        </w:drawing>
      </w:r>
    </w:p>
    <w:p w14:paraId="1DC7F3A4">
      <w:pPr>
        <w:spacing w:line="360" w:lineRule="auto"/>
        <w:rPr>
          <w:rFonts w:hint="eastAsia" w:ascii="宋体" w:hAnsi="宋体"/>
          <w:sz w:val="24"/>
          <w:highlight w:val="none"/>
        </w:rPr>
      </w:pPr>
    </w:p>
    <w:p w14:paraId="4D39E93C">
      <w:pPr>
        <w:spacing w:line="276" w:lineRule="auto"/>
        <w:rPr>
          <w:rFonts w:hint="eastAsia" w:ascii="宋体" w:hAnsi="宋体"/>
          <w:sz w:val="24"/>
          <w:highlight w:val="none"/>
        </w:rPr>
      </w:pPr>
      <w:r>
        <w:rPr>
          <w:rFonts w:hint="eastAsia" w:ascii="宋体" w:hAnsi="宋体"/>
          <w:sz w:val="24"/>
          <w:highlight w:val="none"/>
        </w:rPr>
        <w:t xml:space="preserve">  </w:t>
      </w:r>
    </w:p>
    <w:p w14:paraId="719FA3E0">
      <w:pPr>
        <w:pStyle w:val="3"/>
        <w:spacing w:before="0" w:after="0" w:line="360" w:lineRule="auto"/>
        <w:rPr>
          <w:rFonts w:hint="eastAsia" w:ascii="宋体" w:hAnsi="宋体" w:eastAsia="宋体"/>
          <w:sz w:val="24"/>
          <w:highlight w:val="none"/>
        </w:rPr>
      </w:pPr>
      <w:bookmarkStart w:id="105" w:name="_Toc7122"/>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.2 认证证书和认证标志的使用</w:t>
      </w:r>
      <w:bookmarkEnd w:id="105"/>
    </w:p>
    <w:p w14:paraId="6968B126">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获证客户应建立认证证书和认证标志的使用方案，获证后按照《管理体系认证证书和认证标志、认可标识使用规则</w:t>
      </w:r>
      <w:r>
        <w:rPr>
          <w:rFonts w:ascii="宋体" w:hAnsi="宋体"/>
          <w:sz w:val="24"/>
          <w:highlight w:val="none"/>
        </w:rPr>
        <w:t>》</w:t>
      </w:r>
      <w:r>
        <w:rPr>
          <w:rFonts w:hint="eastAsia" w:ascii="宋体" w:hAnsi="宋体"/>
          <w:sz w:val="24"/>
          <w:highlight w:val="none"/>
        </w:rPr>
        <w:t>正确使用认证证书和认证标志。</w:t>
      </w:r>
    </w:p>
    <w:p w14:paraId="10FA0855">
      <w:pPr>
        <w:pStyle w:val="3"/>
        <w:spacing w:before="0" w:after="0" w:line="360" w:lineRule="auto"/>
        <w:rPr>
          <w:rFonts w:hint="eastAsia" w:ascii="宋体" w:hAnsi="宋体" w:eastAsia="宋体"/>
          <w:sz w:val="24"/>
          <w:highlight w:val="none"/>
          <w:lang w:eastAsia="zh-CN"/>
        </w:rPr>
      </w:pPr>
      <w:bookmarkStart w:id="106" w:name="_Toc30404"/>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.3 认证证书和认证标志的误用</w:t>
      </w:r>
      <w:bookmarkEnd w:id="106"/>
    </w:p>
    <w:p w14:paraId="44FADD5B">
      <w:pPr>
        <w:spacing w:line="360" w:lineRule="auto"/>
        <w:ind w:firstLine="480" w:firstLineChars="200"/>
        <w:rPr>
          <w:rFonts w:hint="eastAsia" w:ascii="宋体" w:hAnsi="宋体"/>
          <w:bCs/>
          <w:sz w:val="24"/>
          <w:highlight w:val="none"/>
        </w:rPr>
      </w:pPr>
      <w:r>
        <w:rPr>
          <w:rFonts w:hint="eastAsia" w:ascii="宋体" w:hAnsi="宋体"/>
          <w:sz w:val="24"/>
          <w:highlight w:val="none"/>
        </w:rPr>
        <w:t>获证客户误用认证证书和认证标志，可能导致认证资格的暂停或撤销。</w:t>
      </w:r>
      <w:r>
        <w:rPr>
          <w:rFonts w:hint="eastAsia" w:ascii="宋体" w:hAnsi="宋体"/>
          <w:bCs/>
          <w:sz w:val="24"/>
          <w:highlight w:val="none"/>
        </w:rPr>
        <w:t>误用认证证书和标志的类型及对误用认证证书和标志的处理</w:t>
      </w:r>
      <w:r>
        <w:rPr>
          <w:rFonts w:hint="eastAsia" w:ascii="宋体" w:hAnsi="宋体"/>
          <w:sz w:val="24"/>
          <w:highlight w:val="none"/>
        </w:rPr>
        <w:t>见《管理体系管理体系认证证书和认证标志、认可标识使用规则</w:t>
      </w:r>
      <w:r>
        <w:rPr>
          <w:rFonts w:ascii="宋体" w:hAnsi="宋体"/>
          <w:sz w:val="24"/>
          <w:highlight w:val="none"/>
        </w:rPr>
        <w:t>》</w:t>
      </w:r>
      <w:r>
        <w:rPr>
          <w:rFonts w:hint="eastAsia" w:ascii="宋体" w:hAnsi="宋体"/>
          <w:sz w:val="24"/>
          <w:highlight w:val="none"/>
        </w:rPr>
        <w:t>中规定。</w:t>
      </w:r>
    </w:p>
    <w:p w14:paraId="2414F179">
      <w:pPr>
        <w:spacing w:line="360" w:lineRule="auto"/>
        <w:ind w:firstLine="480" w:firstLineChars="200"/>
        <w:rPr>
          <w:rFonts w:hint="eastAsia" w:ascii="宋体" w:hAnsi="宋体"/>
          <w:sz w:val="24"/>
          <w:highlight w:val="none"/>
        </w:rPr>
      </w:pPr>
      <w:r>
        <w:rPr>
          <w:rFonts w:hint="eastAsia" w:ascii="宋体" w:hAnsi="宋体"/>
          <w:sz w:val="24"/>
          <w:highlight w:val="none"/>
        </w:rPr>
        <w:t>获证客户一旦发现误用认证证书或认证标志，应立即采取纠正措施，并报告方圆审核管理部门。</w:t>
      </w:r>
    </w:p>
    <w:p w14:paraId="26411EB7">
      <w:pPr>
        <w:pStyle w:val="2"/>
        <w:spacing w:line="600" w:lineRule="auto"/>
        <w:rPr>
          <w:rFonts w:hint="eastAsia" w:ascii="宋体" w:hAnsi="宋体"/>
          <w:highlight w:val="none"/>
        </w:rPr>
      </w:pPr>
      <w:bookmarkStart w:id="107" w:name="_Toc7464"/>
      <w:bookmarkStart w:id="108" w:name="_Toc25232"/>
      <w:bookmarkStart w:id="109" w:name="_Toc25355"/>
      <w:bookmarkStart w:id="110" w:name="_Toc31910"/>
      <w:bookmarkStart w:id="111" w:name="_Toc17325"/>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bookmarkEnd w:id="107"/>
      <w:bookmarkEnd w:id="108"/>
      <w:bookmarkEnd w:id="109"/>
      <w:bookmarkEnd w:id="110"/>
      <w:bookmarkEnd w:id="111"/>
    </w:p>
    <w:p w14:paraId="3F7F8E58">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获证客户应建立向方圆通报最新信息的程序，并及时通报其重大投诉、国家监督检查结果、重大事故及获证客户变更的各种信息等。变更信息包括（但不限于）以下：</w:t>
      </w:r>
    </w:p>
    <w:p w14:paraId="10EFFC10">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组织名称，组织法人，隶属关系；</w:t>
      </w:r>
    </w:p>
    <w:p w14:paraId="113642FD">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联系人，联系方式(包括：电话、传真、手机)；        </w:t>
      </w:r>
    </w:p>
    <w:p w14:paraId="68BF4443">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组织地址(包括：注册地址、认证地址)；   </w:t>
      </w:r>
    </w:p>
    <w:p w14:paraId="70D6563E">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体系覆盖人数；         </w:t>
      </w:r>
    </w:p>
    <w:p w14:paraId="3D98AEE8">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认证范围变化；  </w:t>
      </w:r>
    </w:p>
    <w:p w14:paraId="536ED27F">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组织机构和职能分配；         </w:t>
      </w:r>
    </w:p>
    <w:p w14:paraId="4EC3A0F3">
      <w:pPr>
        <w:numPr>
          <w:ilvl w:val="0"/>
          <w:numId w:val="6"/>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证书表述的组织认证场所/生产场；   </w:t>
      </w:r>
    </w:p>
    <w:p w14:paraId="41581EB0">
      <w:pPr>
        <w:numPr>
          <w:ilvl w:val="0"/>
          <w:numId w:val="6"/>
        </w:numPr>
        <w:spacing w:line="360" w:lineRule="auto"/>
        <w:rPr>
          <w:rFonts w:hint="eastAsia" w:ascii="宋体" w:hAnsi="宋体"/>
          <w:strike w:val="0"/>
          <w:dstrike w:val="0"/>
          <w:color w:val="000000"/>
          <w:sz w:val="24"/>
          <w:highlight w:val="none"/>
        </w:rPr>
      </w:pPr>
      <w:r>
        <w:rPr>
          <w:rFonts w:hint="eastAsia" w:ascii="宋体" w:hAnsi="宋体"/>
          <w:strike w:val="0"/>
          <w:dstrike w:val="0"/>
          <w:color w:val="000000"/>
          <w:sz w:val="24"/>
          <w:highlight w:val="none"/>
        </w:rPr>
        <w:t>管理体系文件</w:t>
      </w:r>
      <w:r>
        <w:rPr>
          <w:rFonts w:hint="eastAsia" w:ascii="宋体" w:hAnsi="宋体"/>
          <w:strike w:val="0"/>
          <w:dstrike w:val="0"/>
          <w:color w:val="000000"/>
          <w:sz w:val="24"/>
          <w:highlight w:val="none"/>
          <w:lang w:eastAsia="zh-CN"/>
        </w:rPr>
        <w:t>。</w:t>
      </w:r>
    </w:p>
    <w:p w14:paraId="214028B9">
      <w:pPr>
        <w:spacing w:line="360" w:lineRule="auto"/>
        <w:ind w:firstLine="480" w:firstLineChars="200"/>
        <w:rPr>
          <w:rFonts w:hint="eastAsia" w:ascii="宋体" w:hAnsi="宋体"/>
          <w:sz w:val="24"/>
          <w:highlight w:val="none"/>
        </w:rPr>
      </w:pPr>
      <w:r>
        <w:rPr>
          <w:rFonts w:hint="eastAsia" w:ascii="宋体" w:hAnsi="宋体"/>
          <w:sz w:val="24"/>
          <w:highlight w:val="none"/>
        </w:rPr>
        <w:t>当上述信息发生变更时，获证客户应填写《获证组织认证信息变更</w:t>
      </w:r>
      <w:r>
        <w:rPr>
          <w:rFonts w:hint="eastAsia" w:ascii="宋体" w:hAnsi="宋体"/>
          <w:sz w:val="24"/>
          <w:highlight w:val="none"/>
          <w:lang w:val="en-US" w:eastAsia="zh-CN"/>
        </w:rPr>
        <w:t>申请表</w:t>
      </w:r>
      <w:r>
        <w:rPr>
          <w:rFonts w:hint="eastAsia" w:ascii="宋体" w:hAnsi="宋体"/>
          <w:sz w:val="24"/>
          <w:highlight w:val="none"/>
        </w:rPr>
        <w:t>》，并及时反馈给CQM。变更信息反馈渠道及联系信息详见《获证组织认证信息变更</w:t>
      </w:r>
      <w:r>
        <w:rPr>
          <w:rFonts w:hint="eastAsia" w:ascii="宋体" w:hAnsi="宋体"/>
          <w:sz w:val="24"/>
          <w:highlight w:val="none"/>
          <w:lang w:val="en-US" w:eastAsia="zh-CN"/>
        </w:rPr>
        <w:t>申请表</w:t>
      </w:r>
      <w:r>
        <w:rPr>
          <w:rFonts w:hint="eastAsia" w:ascii="宋体" w:hAnsi="宋体"/>
          <w:sz w:val="24"/>
          <w:highlight w:val="none"/>
        </w:rPr>
        <w:t>》。</w:t>
      </w:r>
    </w:p>
    <w:p w14:paraId="1DDBAA3E">
      <w:pPr>
        <w:pStyle w:val="2"/>
        <w:spacing w:line="600" w:lineRule="auto"/>
        <w:rPr>
          <w:rFonts w:hint="eastAsia" w:ascii="宋体" w:hAnsi="宋体"/>
          <w:highlight w:val="none"/>
        </w:rPr>
      </w:pPr>
      <w:bookmarkStart w:id="112" w:name="_Toc12089"/>
      <w:bookmarkStart w:id="113" w:name="_Toc19165"/>
      <w:bookmarkStart w:id="114" w:name="_Toc5049"/>
      <w:bookmarkStart w:id="115" w:name="_Toc32242"/>
      <w:bookmarkStart w:id="116" w:name="_Toc27959"/>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bookmarkEnd w:id="112"/>
      <w:bookmarkEnd w:id="113"/>
      <w:bookmarkEnd w:id="114"/>
      <w:bookmarkEnd w:id="115"/>
      <w:bookmarkEnd w:id="116"/>
    </w:p>
    <w:p w14:paraId="5D2E1615">
      <w:pPr>
        <w:spacing w:line="360" w:lineRule="auto"/>
        <w:ind w:firstLine="480" w:firstLineChars="200"/>
        <w:rPr>
          <w:rFonts w:ascii="宋体" w:hAnsi="宋体"/>
          <w:sz w:val="24"/>
          <w:highlight w:val="none"/>
        </w:rPr>
      </w:pPr>
      <w:r>
        <w:rPr>
          <w:rFonts w:hint="eastAsia" w:ascii="宋体" w:hAnsi="宋体"/>
          <w:sz w:val="24"/>
          <w:highlight w:val="none"/>
        </w:rPr>
        <w:t>CQM承诺为认证客户保密（提前告知认证客户的需公开信息除外）。对认证客户的保密信息如需公开或向第三方提供时，将拟提供的信息提前通知认证客户（法律限制除外）。</w:t>
      </w:r>
    </w:p>
    <w:p w14:paraId="59018588">
      <w:pPr>
        <w:spacing w:line="360" w:lineRule="auto"/>
        <w:ind w:firstLine="480"/>
        <w:rPr>
          <w:rFonts w:hint="eastAsia" w:ascii="宋体" w:hAnsi="宋体"/>
          <w:sz w:val="24"/>
          <w:highlight w:val="none"/>
        </w:rPr>
      </w:pPr>
      <w:r>
        <w:rPr>
          <w:rFonts w:hint="eastAsia" w:ascii="宋体" w:hAnsi="宋体"/>
          <w:sz w:val="24"/>
          <w:highlight w:val="none"/>
        </w:rPr>
        <w:t>如有证据表明，CQM因认证接触受审核方的商业、技术秘密，而泄露给第三者（法律规定除外），承担相应法律责任。</w:t>
      </w:r>
    </w:p>
    <w:p w14:paraId="52A29F63">
      <w:pPr>
        <w:pStyle w:val="2"/>
        <w:spacing w:line="600" w:lineRule="auto"/>
        <w:rPr>
          <w:rFonts w:hint="eastAsia"/>
          <w:highlight w:val="none"/>
        </w:rPr>
      </w:pPr>
      <w:bookmarkStart w:id="117" w:name="_Toc6700"/>
      <w:bookmarkStart w:id="118" w:name="_Toc3880"/>
      <w:bookmarkStart w:id="119" w:name="_Toc6773"/>
      <w:bookmarkStart w:id="120" w:name="_Toc22659"/>
      <w:bookmarkStart w:id="121" w:name="_Toc31324"/>
      <w:r>
        <w:rPr>
          <w:rFonts w:hint="eastAsia"/>
          <w:highlight w:val="none"/>
        </w:rPr>
        <w:t>1</w:t>
      </w:r>
      <w:r>
        <w:rPr>
          <w:rFonts w:hint="eastAsia"/>
          <w:highlight w:val="none"/>
          <w:lang w:val="en-US" w:eastAsia="zh-CN"/>
        </w:rPr>
        <w:t>5</w:t>
      </w:r>
      <w:r>
        <w:rPr>
          <w:rFonts w:hint="eastAsia"/>
          <w:highlight w:val="none"/>
        </w:rPr>
        <w:t xml:space="preserve"> 公告</w:t>
      </w:r>
      <w:bookmarkEnd w:id="117"/>
      <w:bookmarkEnd w:id="118"/>
      <w:bookmarkEnd w:id="119"/>
      <w:bookmarkEnd w:id="120"/>
      <w:bookmarkEnd w:id="121"/>
    </w:p>
    <w:p w14:paraId="26A20882">
      <w:pPr>
        <w:spacing w:line="360" w:lineRule="auto"/>
        <w:ind w:firstLine="480"/>
        <w:rPr>
          <w:rFonts w:hint="eastAsia" w:ascii="宋体" w:hAnsi="宋体"/>
          <w:sz w:val="24"/>
          <w:highlight w:val="none"/>
        </w:rPr>
      </w:pPr>
      <w:r>
        <w:rPr>
          <w:rFonts w:hint="eastAsia" w:ascii="宋体" w:hAnsi="宋体"/>
          <w:sz w:val="24"/>
          <w:highlight w:val="none"/>
        </w:rPr>
        <w:t>对获得认证、暂停、恢复或撤销的认证客户，在CQM网站上公布。</w:t>
      </w:r>
    </w:p>
    <w:p w14:paraId="4E770F96">
      <w:pPr>
        <w:pStyle w:val="2"/>
        <w:spacing w:line="600" w:lineRule="auto"/>
        <w:rPr>
          <w:rFonts w:hint="eastAsia"/>
          <w:highlight w:val="none"/>
        </w:rPr>
      </w:pPr>
      <w:bookmarkStart w:id="122" w:name="_Toc19101"/>
      <w:bookmarkStart w:id="123" w:name="_Toc18983"/>
      <w:bookmarkStart w:id="124" w:name="_Toc16460"/>
      <w:bookmarkStart w:id="125" w:name="_Toc17238"/>
      <w:bookmarkStart w:id="126" w:name="_Toc25035"/>
      <w:r>
        <w:rPr>
          <w:rFonts w:hint="eastAsia"/>
          <w:highlight w:val="none"/>
        </w:rPr>
        <w:t>1</w:t>
      </w:r>
      <w:r>
        <w:rPr>
          <w:rFonts w:hint="eastAsia"/>
          <w:highlight w:val="none"/>
          <w:lang w:val="en-US" w:eastAsia="zh-CN"/>
        </w:rPr>
        <w:t>6</w:t>
      </w:r>
      <w:r>
        <w:rPr>
          <w:rFonts w:hint="eastAsia"/>
          <w:highlight w:val="none"/>
        </w:rPr>
        <w:t xml:space="preserve"> 附则</w:t>
      </w:r>
      <w:bookmarkEnd w:id="122"/>
      <w:bookmarkEnd w:id="123"/>
      <w:bookmarkEnd w:id="124"/>
      <w:bookmarkEnd w:id="125"/>
      <w:bookmarkEnd w:id="126"/>
    </w:p>
    <w:p w14:paraId="4A17E529">
      <w:pPr>
        <w:spacing w:line="360" w:lineRule="auto"/>
        <w:ind w:firstLine="480"/>
        <w:rPr>
          <w:rFonts w:hint="eastAsia" w:ascii="宋体" w:hAnsi="宋体"/>
          <w:sz w:val="24"/>
          <w:highlight w:val="none"/>
        </w:rPr>
      </w:pPr>
      <w:r>
        <w:rPr>
          <w:rFonts w:hint="eastAsia" w:ascii="宋体" w:hAnsi="宋体" w:eastAsia="宋体"/>
          <w:b w:val="0"/>
          <w:bCs w:val="0"/>
          <w:sz w:val="24"/>
          <w:szCs w:val="24"/>
          <w:highlight w:val="none"/>
        </w:rPr>
        <w:t>本方案由方圆标志认证集团有限公司负责解释。</w:t>
      </w:r>
      <w:bookmarkEnd w:id="84"/>
      <w:bookmarkEnd w:id="85"/>
      <w:bookmarkEnd w:id="86"/>
    </w:p>
    <w:p w14:paraId="25F7689B">
      <w:pPr>
        <w:jc w:val="left"/>
        <w:rPr>
          <w:sz w:val="24"/>
          <w:highlight w:val="none"/>
        </w:rPr>
      </w:pPr>
    </w:p>
    <w:p w14:paraId="1BA696E9">
      <w:pPr>
        <w:spacing w:line="360" w:lineRule="auto"/>
        <w:rPr>
          <w:rFonts w:hint="eastAsia" w:ascii="黑体" w:hAnsi="宋体" w:eastAsia="黑体"/>
          <w:szCs w:val="21"/>
          <w:highlight w:val="none"/>
        </w:rPr>
      </w:pPr>
    </w:p>
    <w:sectPr>
      <w:footerReference r:id="rId9" w:type="first"/>
      <w:footerReference r:id="rId8" w:type="default"/>
      <w:pgSz w:w="11906" w:h="16838"/>
      <w:pgMar w:top="856" w:right="1797" w:bottom="1440" w:left="1797" w:header="159" w:footer="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9180" w:type="dxa"/>
      <w:tblInd w:w="-252" w:type="dxa"/>
      <w:tblLayout w:type="fixed"/>
      <w:tblCellMar>
        <w:top w:w="0" w:type="dxa"/>
        <w:left w:w="108" w:type="dxa"/>
        <w:bottom w:w="0" w:type="dxa"/>
        <w:right w:w="108" w:type="dxa"/>
      </w:tblCellMar>
    </w:tblPr>
    <w:tblGrid>
      <w:gridCol w:w="1050"/>
      <w:gridCol w:w="4530"/>
      <w:gridCol w:w="1620"/>
      <w:gridCol w:w="1980"/>
    </w:tblGrid>
    <w:tr w14:paraId="58A1908D">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44A8C4DB">
          <w:pPr>
            <w:pStyle w:val="10"/>
            <w:ind w:left="-108"/>
            <w:jc w:val="both"/>
            <w:rPr>
              <w:sz w:val="13"/>
            </w:rPr>
          </w:pPr>
        </w:p>
        <w:p w14:paraId="011B467F">
          <w:pPr>
            <w:pStyle w:val="10"/>
            <w:ind w:left="-108"/>
            <w:jc w:val="both"/>
          </w:pPr>
          <w:r>
            <w:rPr>
              <w:rFonts w:hint="eastAsia"/>
            </w:rPr>
            <w:t>通讯地址：</w:t>
          </w:r>
        </w:p>
        <w:p w14:paraId="6C4F1E62">
          <w:pPr>
            <w:pStyle w:val="10"/>
            <w:ind w:left="-108"/>
            <w:jc w:val="both"/>
          </w:pPr>
          <w:r>
            <w:rPr>
              <w:rFonts w:hint="eastAsia"/>
            </w:rPr>
            <w:t>电话：</w:t>
          </w:r>
        </w:p>
        <w:p w14:paraId="335838E6">
          <w:pPr>
            <w:pStyle w:val="10"/>
            <w:ind w:left="-108"/>
            <w:jc w:val="both"/>
          </w:pPr>
          <w:r>
            <w:rPr>
              <w:rFonts w:hint="eastAsia"/>
            </w:rPr>
            <w:t>传真：</w:t>
          </w:r>
        </w:p>
        <w:p w14:paraId="686779A6">
          <w:pPr>
            <w:pStyle w:val="10"/>
            <w:ind w:left="-108"/>
            <w:jc w:val="both"/>
          </w:pPr>
          <w:r>
            <w:rPr>
              <w:rFonts w:hint="eastAsia"/>
            </w:rPr>
            <w:t>网址：</w:t>
          </w:r>
        </w:p>
        <w:p w14:paraId="61C002F5">
          <w:pPr>
            <w:pStyle w:val="10"/>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2A3A572C">
          <w:pPr>
            <w:pStyle w:val="10"/>
            <w:ind w:left="-108"/>
            <w:jc w:val="both"/>
            <w:rPr>
              <w:sz w:val="13"/>
            </w:rPr>
          </w:pPr>
        </w:p>
        <w:p w14:paraId="47A5D3A4">
          <w:pPr>
            <w:pStyle w:val="10"/>
            <w:ind w:left="-108"/>
            <w:jc w:val="both"/>
          </w:pPr>
          <w:r>
            <w:rPr>
              <w:rFonts w:hint="eastAsia"/>
            </w:rPr>
            <w:t>北京市海淀区增光路33号</w:t>
          </w:r>
          <w:r>
            <w:t>(</w:t>
          </w:r>
          <w:r>
            <w:rPr>
              <w:rFonts w:hint="eastAsia"/>
            </w:rPr>
            <w:t>100048</w:t>
          </w:r>
          <w:r>
            <w:t>)</w:t>
          </w:r>
        </w:p>
        <w:p w14:paraId="2429F4A0">
          <w:pPr>
            <w:pStyle w:val="10"/>
            <w:ind w:left="-108"/>
            <w:jc w:val="both"/>
          </w:pPr>
          <w:r>
            <w:rPr>
              <w:rFonts w:hint="eastAsia"/>
            </w:rPr>
            <w:t>（010）88411888（总机）</w:t>
          </w:r>
        </w:p>
        <w:p w14:paraId="40F0CA16">
          <w:pPr>
            <w:pStyle w:val="10"/>
            <w:ind w:left="-108"/>
            <w:jc w:val="both"/>
          </w:pPr>
          <w:r>
            <w:rPr>
              <w:rFonts w:hint="eastAsia"/>
            </w:rPr>
            <w:t>（010）88414325</w:t>
          </w:r>
        </w:p>
        <w:p w14:paraId="6D6A4414">
          <w:pPr>
            <w:pStyle w:val="10"/>
            <w:jc w:val="both"/>
          </w:pPr>
          <w:r>
            <w:t>http://</w:t>
          </w:r>
          <w:r>
            <w:rPr>
              <w:rFonts w:hint="eastAsia"/>
            </w:rPr>
            <w:t>www.</w:t>
          </w:r>
          <w:r>
            <w:t>cqm.</w:t>
          </w:r>
          <w:r>
            <w:rPr>
              <w:rFonts w:hint="eastAsia"/>
            </w:rPr>
            <w:t>com.</w:t>
          </w:r>
          <w:r>
            <w:t>cn/</w:t>
          </w:r>
        </w:p>
        <w:p w14:paraId="6A8C9930">
          <w:pPr>
            <w:pStyle w:val="10"/>
            <w:jc w:val="both"/>
          </w:pPr>
          <w:r>
            <w:t>cqm@cqm.com.cn</w:t>
          </w:r>
        </w:p>
      </w:tc>
      <w:tc>
        <w:tcPr>
          <w:tcW w:w="1620" w:type="dxa"/>
          <w:tcBorders>
            <w:top w:val="thinThickSmallGap" w:color="002071" w:sz="18" w:space="0"/>
            <w:left w:val="nil"/>
            <w:bottom w:val="nil"/>
            <w:right w:val="nil"/>
          </w:tcBorders>
          <w:vAlign w:val="top"/>
        </w:tcPr>
        <w:p w14:paraId="3CD09756">
          <w:pPr>
            <w:pStyle w:val="10"/>
            <w:jc w:val="both"/>
          </w:pPr>
        </w:p>
        <w:p w14:paraId="7FC57CD9">
          <w:pPr>
            <w:pStyle w:val="10"/>
            <w:jc w:val="both"/>
          </w:pPr>
          <w:r>
            <w:rPr>
              <w:rFonts w:hint="eastAsia"/>
            </w:rPr>
            <w:t xml:space="preserve">文件编号： </w:t>
          </w:r>
        </w:p>
        <w:p w14:paraId="63CA4AA1">
          <w:pPr>
            <w:pStyle w:val="10"/>
            <w:jc w:val="both"/>
          </w:pPr>
          <w:r>
            <w:rPr>
              <w:rFonts w:hint="eastAsia"/>
            </w:rPr>
            <w:t xml:space="preserve">发布日期： </w:t>
          </w:r>
        </w:p>
        <w:p w14:paraId="785C9338">
          <w:pPr>
            <w:widowControl/>
            <w:jc w:val="left"/>
            <w:rPr>
              <w:sz w:val="18"/>
              <w:szCs w:val="18"/>
            </w:rPr>
          </w:pPr>
          <w:r>
            <w:rPr>
              <w:rFonts w:hint="eastAsia"/>
              <w:sz w:val="18"/>
              <w:szCs w:val="18"/>
            </w:rPr>
            <w:t>修订日期：</w:t>
          </w:r>
        </w:p>
        <w:p w14:paraId="5806A18B">
          <w:pPr>
            <w:widowControl/>
            <w:jc w:val="left"/>
            <w:rPr>
              <w:sz w:val="18"/>
              <w:szCs w:val="18"/>
            </w:rPr>
          </w:pPr>
          <w:r>
            <w:rPr>
              <w:rFonts w:hint="eastAsia"/>
              <w:sz w:val="18"/>
              <w:szCs w:val="18"/>
            </w:rPr>
            <w:t>实施日期：</w:t>
          </w:r>
        </w:p>
        <w:p w14:paraId="69FACDCA">
          <w:pPr>
            <w:widowControl/>
            <w:jc w:val="left"/>
            <w:rPr>
              <w:sz w:val="18"/>
              <w:szCs w:val="18"/>
            </w:rPr>
          </w:pPr>
          <w:r>
            <w:rPr>
              <w:rFonts w:hint="eastAsia"/>
              <w:sz w:val="18"/>
              <w:szCs w:val="18"/>
            </w:rPr>
            <w:t>页数：</w:t>
          </w:r>
        </w:p>
      </w:tc>
      <w:tc>
        <w:tcPr>
          <w:tcW w:w="1980" w:type="dxa"/>
          <w:tcBorders>
            <w:top w:val="thinThickSmallGap" w:color="002071" w:sz="18" w:space="0"/>
            <w:left w:val="nil"/>
            <w:bottom w:val="nil"/>
            <w:right w:val="nil"/>
          </w:tcBorders>
          <w:vAlign w:val="top"/>
        </w:tcPr>
        <w:p w14:paraId="3A0E3ED0">
          <w:pPr>
            <w:pStyle w:val="10"/>
            <w:jc w:val="both"/>
          </w:pPr>
        </w:p>
        <w:p w14:paraId="6FD03256">
          <w:pPr>
            <w:pStyle w:val="10"/>
            <w:jc w:val="both"/>
            <w:rPr>
              <w:rFonts w:hint="eastAsia"/>
              <w:lang w:eastAsia="zh-CN"/>
            </w:rPr>
          </w:pPr>
          <w:r>
            <w:t>CQM/S-</w:t>
          </w:r>
          <w:r>
            <w:rPr>
              <w:rFonts w:hint="eastAsia"/>
              <w:lang w:eastAsia="zh-CN"/>
            </w:rPr>
            <w:t>FN-00-001</w:t>
          </w:r>
        </w:p>
        <w:p w14:paraId="07D6F7D2">
          <w:pPr>
            <w:pStyle w:val="10"/>
            <w:jc w:val="both"/>
          </w:pPr>
          <w:r>
            <w:rPr>
              <w:rFonts w:hint="eastAsia"/>
            </w:rPr>
            <w:t>20</w:t>
          </w:r>
          <w:r>
            <w:rPr>
              <w:rFonts w:hint="eastAsia"/>
              <w:lang w:eastAsia="zh-CN"/>
            </w:rPr>
            <w:t>16</w:t>
          </w:r>
          <w:r>
            <w:rPr>
              <w:rFonts w:hint="eastAsia"/>
            </w:rPr>
            <w:t>年01月01日</w:t>
          </w:r>
        </w:p>
        <w:p w14:paraId="4FF3E740">
          <w:pPr>
            <w:pStyle w:val="10"/>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1D2EC955">
          <w:pPr>
            <w:pStyle w:val="10"/>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174ABD5C">
          <w:pPr>
            <w:pStyle w:val="10"/>
            <w:jc w:val="both"/>
          </w:pPr>
          <w:r>
            <w:rPr>
              <w:rFonts w:hint="eastAsia"/>
            </w:rPr>
            <w:t xml:space="preserve">第 </w:t>
          </w:r>
          <w:r>
            <w:rPr>
              <w:rFonts w:hint="eastAsia"/>
              <w:lang w:val="en-US" w:eastAsia="zh-CN"/>
            </w:rPr>
            <w:t>1</w:t>
          </w:r>
          <w:r>
            <w:rPr>
              <w:rFonts w:hint="eastAsia"/>
            </w:rPr>
            <w:t xml:space="preserve"> </w:t>
          </w:r>
          <w:r>
            <w:rPr>
              <w:rStyle w:val="18"/>
              <w:rFonts w:hint="eastAsia"/>
            </w:rPr>
            <w:t xml:space="preserve">页  共 </w:t>
          </w:r>
          <w:r>
            <w:rPr>
              <w:rStyle w:val="18"/>
              <w:rFonts w:hint="eastAsia"/>
              <w:lang w:eastAsia="zh-CN"/>
            </w:rPr>
            <w:t>20</w:t>
          </w:r>
          <w:r>
            <w:rPr>
              <w:rStyle w:val="18"/>
              <w:rFonts w:hint="eastAsia"/>
            </w:rPr>
            <w:t xml:space="preserve"> 页</w:t>
          </w:r>
        </w:p>
      </w:tc>
    </w:tr>
  </w:tbl>
  <w:p w14:paraId="1D4D855A"/>
  <w:p w14:paraId="0B4F6CF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CCB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9180" w:type="dxa"/>
      <w:tblInd w:w="-252" w:type="dxa"/>
      <w:tblLayout w:type="fixed"/>
      <w:tblCellMar>
        <w:top w:w="0" w:type="dxa"/>
        <w:left w:w="108" w:type="dxa"/>
        <w:bottom w:w="0" w:type="dxa"/>
        <w:right w:w="108" w:type="dxa"/>
      </w:tblCellMar>
    </w:tblPr>
    <w:tblGrid>
      <w:gridCol w:w="1050"/>
      <w:gridCol w:w="4530"/>
      <w:gridCol w:w="1231"/>
      <w:gridCol w:w="2369"/>
    </w:tblGrid>
    <w:tr w14:paraId="79D9D166">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0B1A1035">
          <w:pPr>
            <w:pStyle w:val="10"/>
            <w:ind w:left="-108"/>
            <w:jc w:val="both"/>
            <w:rPr>
              <w:sz w:val="13"/>
            </w:rPr>
          </w:pPr>
          <w:bookmarkStart w:id="129" w:name="_GoBack" w:colFirst="2" w:colLast="3"/>
        </w:p>
        <w:p w14:paraId="10665B39">
          <w:pPr>
            <w:pStyle w:val="10"/>
            <w:ind w:left="-108"/>
            <w:jc w:val="both"/>
          </w:pPr>
          <w:r>
            <w:rPr>
              <w:rFonts w:hint="eastAsia"/>
            </w:rPr>
            <w:t>通讯地址：</w:t>
          </w:r>
        </w:p>
        <w:p w14:paraId="2B25F883">
          <w:pPr>
            <w:pStyle w:val="10"/>
            <w:ind w:left="-108"/>
            <w:jc w:val="both"/>
          </w:pPr>
          <w:r>
            <w:rPr>
              <w:rFonts w:hint="eastAsia"/>
            </w:rPr>
            <w:t>电话：</w:t>
          </w:r>
        </w:p>
        <w:p w14:paraId="7E8937DE">
          <w:pPr>
            <w:pStyle w:val="10"/>
            <w:ind w:left="-108"/>
            <w:jc w:val="both"/>
          </w:pPr>
          <w:r>
            <w:rPr>
              <w:rFonts w:hint="eastAsia"/>
            </w:rPr>
            <w:t>传真：</w:t>
          </w:r>
        </w:p>
        <w:p w14:paraId="6D6ADECB">
          <w:pPr>
            <w:pStyle w:val="10"/>
            <w:ind w:left="-108"/>
            <w:jc w:val="both"/>
          </w:pPr>
          <w:r>
            <w:rPr>
              <w:rFonts w:hint="eastAsia"/>
            </w:rPr>
            <w:t>网址：</w:t>
          </w:r>
        </w:p>
        <w:p w14:paraId="2B224DC0">
          <w:pPr>
            <w:pStyle w:val="10"/>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5591F962">
          <w:pPr>
            <w:pStyle w:val="10"/>
            <w:ind w:left="-108"/>
            <w:jc w:val="both"/>
            <w:rPr>
              <w:sz w:val="13"/>
            </w:rPr>
          </w:pPr>
        </w:p>
        <w:p w14:paraId="1569887B">
          <w:pPr>
            <w:pStyle w:val="10"/>
            <w:ind w:left="-108"/>
            <w:jc w:val="both"/>
          </w:pPr>
          <w:r>
            <w:rPr>
              <w:rFonts w:hint="eastAsia"/>
            </w:rPr>
            <w:t>北京市海淀区增光路33号</w:t>
          </w:r>
          <w:r>
            <w:t>(</w:t>
          </w:r>
          <w:r>
            <w:rPr>
              <w:rFonts w:hint="eastAsia"/>
            </w:rPr>
            <w:t>100048</w:t>
          </w:r>
          <w:r>
            <w:t>)</w:t>
          </w:r>
        </w:p>
        <w:p w14:paraId="7817AE00">
          <w:pPr>
            <w:pStyle w:val="10"/>
            <w:ind w:left="-108"/>
            <w:jc w:val="both"/>
          </w:pPr>
          <w:r>
            <w:rPr>
              <w:rFonts w:hint="eastAsia"/>
            </w:rPr>
            <w:t>（010）88411888（总机）</w:t>
          </w:r>
        </w:p>
        <w:p w14:paraId="1B2656A9">
          <w:pPr>
            <w:pStyle w:val="10"/>
            <w:ind w:left="-108"/>
            <w:jc w:val="both"/>
          </w:pPr>
          <w:r>
            <w:rPr>
              <w:rFonts w:hint="eastAsia"/>
            </w:rPr>
            <w:t>（010）88414325</w:t>
          </w:r>
        </w:p>
        <w:p w14:paraId="457FEBC4">
          <w:pPr>
            <w:pStyle w:val="10"/>
            <w:jc w:val="both"/>
          </w:pPr>
          <w:r>
            <w:t>http://</w:t>
          </w:r>
          <w:r>
            <w:rPr>
              <w:rFonts w:hint="eastAsia"/>
            </w:rPr>
            <w:t>www.</w:t>
          </w:r>
          <w:r>
            <w:t>cqm.</w:t>
          </w:r>
          <w:r>
            <w:rPr>
              <w:rFonts w:hint="eastAsia"/>
            </w:rPr>
            <w:t>com.</w:t>
          </w:r>
          <w:r>
            <w:t>cn/</w:t>
          </w:r>
        </w:p>
        <w:p w14:paraId="3179A1A0">
          <w:pPr>
            <w:pStyle w:val="10"/>
            <w:jc w:val="both"/>
          </w:pPr>
          <w:r>
            <w:t>cqm@cqm.com.cn</w:t>
          </w:r>
        </w:p>
      </w:tc>
      <w:tc>
        <w:tcPr>
          <w:tcW w:w="1231" w:type="dxa"/>
          <w:tcBorders>
            <w:top w:val="thinThickSmallGap" w:color="002071" w:sz="18" w:space="0"/>
            <w:left w:val="nil"/>
            <w:bottom w:val="nil"/>
            <w:right w:val="nil"/>
          </w:tcBorders>
          <w:vAlign w:val="top"/>
        </w:tcPr>
        <w:p w14:paraId="12EC7C5C">
          <w:pPr>
            <w:pStyle w:val="10"/>
            <w:jc w:val="both"/>
            <w:rPr>
              <w:color w:val="auto"/>
            </w:rPr>
          </w:pPr>
        </w:p>
        <w:p w14:paraId="67FFB102">
          <w:pPr>
            <w:pStyle w:val="10"/>
            <w:jc w:val="both"/>
            <w:rPr>
              <w:color w:val="auto"/>
            </w:rPr>
          </w:pPr>
          <w:r>
            <w:rPr>
              <w:rFonts w:hint="eastAsia"/>
              <w:color w:val="auto"/>
            </w:rPr>
            <w:t xml:space="preserve">文件编号： </w:t>
          </w:r>
        </w:p>
        <w:p w14:paraId="0F04ECDC">
          <w:pPr>
            <w:pStyle w:val="10"/>
            <w:jc w:val="both"/>
            <w:rPr>
              <w:color w:val="auto"/>
            </w:rPr>
          </w:pPr>
          <w:r>
            <w:rPr>
              <w:rFonts w:hint="eastAsia"/>
              <w:color w:val="auto"/>
            </w:rPr>
            <w:t xml:space="preserve">发布日期： </w:t>
          </w:r>
        </w:p>
        <w:p w14:paraId="0C6DD2BE">
          <w:pPr>
            <w:widowControl/>
            <w:jc w:val="left"/>
            <w:rPr>
              <w:color w:val="auto"/>
              <w:sz w:val="18"/>
              <w:szCs w:val="18"/>
            </w:rPr>
          </w:pPr>
          <w:r>
            <w:rPr>
              <w:rFonts w:hint="eastAsia"/>
              <w:color w:val="auto"/>
              <w:sz w:val="18"/>
              <w:szCs w:val="18"/>
            </w:rPr>
            <w:t>修订日期：</w:t>
          </w:r>
        </w:p>
        <w:p w14:paraId="5A9ED824">
          <w:pPr>
            <w:widowControl/>
            <w:jc w:val="left"/>
            <w:rPr>
              <w:color w:val="auto"/>
              <w:sz w:val="18"/>
              <w:szCs w:val="18"/>
            </w:rPr>
          </w:pPr>
          <w:r>
            <w:rPr>
              <w:rFonts w:hint="eastAsia"/>
              <w:color w:val="auto"/>
              <w:sz w:val="18"/>
              <w:szCs w:val="18"/>
            </w:rPr>
            <w:t>实施日期：</w:t>
          </w:r>
        </w:p>
        <w:p w14:paraId="3BB365BA">
          <w:pPr>
            <w:widowControl/>
            <w:jc w:val="left"/>
            <w:rPr>
              <w:color w:val="auto"/>
              <w:sz w:val="18"/>
              <w:szCs w:val="18"/>
            </w:rPr>
          </w:pPr>
          <w:r>
            <w:rPr>
              <w:rFonts w:hint="eastAsia"/>
              <w:color w:val="auto"/>
              <w:sz w:val="18"/>
              <w:szCs w:val="18"/>
            </w:rPr>
            <w:t>页数：</w:t>
          </w:r>
        </w:p>
      </w:tc>
      <w:tc>
        <w:tcPr>
          <w:tcW w:w="2369" w:type="dxa"/>
          <w:tcBorders>
            <w:top w:val="thinThickSmallGap" w:color="002071" w:sz="18" w:space="0"/>
            <w:left w:val="nil"/>
            <w:bottom w:val="nil"/>
            <w:right w:val="nil"/>
          </w:tcBorders>
          <w:vAlign w:val="top"/>
        </w:tcPr>
        <w:p w14:paraId="78230DC9">
          <w:pPr>
            <w:pStyle w:val="10"/>
            <w:jc w:val="both"/>
            <w:rPr>
              <w:color w:val="auto"/>
            </w:rPr>
          </w:pPr>
        </w:p>
        <w:p w14:paraId="7A9D3CD0">
          <w:pPr>
            <w:pStyle w:val="10"/>
            <w:jc w:val="both"/>
            <w:rPr>
              <w:color w:val="auto"/>
              <w:lang w:val="en-US" w:eastAsia="zh-CN"/>
            </w:rPr>
          </w:pPr>
          <w:r>
            <w:rPr>
              <w:color w:val="auto"/>
              <w:lang w:val="en-US" w:eastAsia="zh-CN"/>
            </w:rPr>
            <w:t>CQM/S-</w:t>
          </w:r>
          <w:r>
            <w:rPr>
              <w:rFonts w:hint="eastAsia"/>
              <w:color w:val="auto"/>
              <w:lang w:val="en-US" w:eastAsia="zh-CN"/>
            </w:rPr>
            <w:t>FN</w:t>
          </w:r>
          <w:r>
            <w:rPr>
              <w:color w:val="auto"/>
              <w:lang w:val="en-US" w:eastAsia="zh-CN"/>
            </w:rPr>
            <w:t>-</w:t>
          </w:r>
          <w:r>
            <w:rPr>
              <w:rFonts w:hint="eastAsia"/>
              <w:color w:val="auto"/>
              <w:lang w:val="en-US" w:eastAsia="zh-CN"/>
            </w:rPr>
            <w:t>06-</w:t>
          </w:r>
          <w:r>
            <w:rPr>
              <w:color w:val="auto"/>
              <w:lang w:val="en-US" w:eastAsia="zh-CN"/>
            </w:rPr>
            <w:t>00</w:t>
          </w:r>
          <w:r>
            <w:rPr>
              <w:rFonts w:hint="eastAsia"/>
              <w:color w:val="auto"/>
              <w:lang w:val="en-US" w:eastAsia="zh-CN"/>
            </w:rPr>
            <w:t>4</w:t>
          </w:r>
        </w:p>
        <w:p w14:paraId="0DDF69D4">
          <w:pPr>
            <w:pStyle w:val="10"/>
            <w:jc w:val="both"/>
            <w:rPr>
              <w:rFonts w:hint="eastAsia"/>
              <w:color w:val="auto"/>
              <w:lang w:val="en-US" w:eastAsia="zh-CN"/>
            </w:rPr>
          </w:pPr>
          <w:r>
            <w:rPr>
              <w:rFonts w:hint="eastAsia"/>
              <w:color w:val="auto"/>
              <w:lang w:val="en-US" w:eastAsia="zh-CN"/>
            </w:rPr>
            <w:t>2015年09月09日</w:t>
          </w:r>
        </w:p>
        <w:p w14:paraId="00336CBD">
          <w:pPr>
            <w:pStyle w:val="10"/>
            <w:jc w:val="both"/>
            <w:rPr>
              <w:color w:val="auto"/>
            </w:rPr>
          </w:pP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p w14:paraId="4F27C090">
          <w:pPr>
            <w:pStyle w:val="10"/>
            <w:jc w:val="both"/>
            <w:rPr>
              <w:color w:val="auto"/>
            </w:rPr>
          </w:pPr>
          <w:r>
            <w:rPr>
              <w:color w:val="auto"/>
              <w:sz w:val="13"/>
            </w:rPr>
            <mc:AlternateContent>
              <mc:Choice Requires="wps">
                <w:drawing>
                  <wp:anchor distT="0" distB="0" distL="114300" distR="114300" simplePos="0" relativeHeight="251664384" behindDoc="1" locked="0" layoutInCell="1" allowOverlap="1">
                    <wp:simplePos x="0" y="0"/>
                    <wp:positionH relativeFrom="margin">
                      <wp:posOffset>5080</wp:posOffset>
                    </wp:positionH>
                    <wp:positionV relativeFrom="paragraph">
                      <wp:posOffset>148590</wp:posOffset>
                    </wp:positionV>
                    <wp:extent cx="1002030" cy="159385"/>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6" name="文本框 32"/>
                    <wp:cNvGraphicFramePr/>
                    <a:graphic xmlns:a="http://schemas.openxmlformats.org/drawingml/2006/main">
                      <a:graphicData uri="http://schemas.microsoft.com/office/word/2010/wordprocessingShape">
                        <wps:wsp>
                          <wps:cNvSpPr txBox="1"/>
                          <wps:spPr>
                            <a:xfrm rot="-10800000" flipV="1">
                              <a:off x="0" y="0"/>
                              <a:ext cx="1002030" cy="159385"/>
                            </a:xfrm>
                            <a:prstGeom prst="rect">
                              <a:avLst/>
                            </a:prstGeom>
                            <a:noFill/>
                            <a:ln>
                              <a:noFill/>
                            </a:ln>
                          </wps:spPr>
                          <wps:txbx>
                            <w:txbxContent>
                              <w:p w14:paraId="0D387B02">
                                <w:pPr>
                                  <w:pStyle w:val="10"/>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11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wps:txbx>
                          <wps:bodyPr lIns="0" tIns="0" rIns="0" bIns="0" upright="0"/>
                        </wps:wsp>
                      </a:graphicData>
                    </a:graphic>
                  </wp:anchor>
                </w:drawing>
              </mc:Choice>
              <mc:Fallback>
                <w:pict>
                  <v:shape id="文本框 32" o:spid="_x0000_s1026" o:spt="202" type="#_x0000_t202" style="position:absolute;left:0pt;flip:y;margin-left:0.4pt;margin-top:11.7pt;height:12.55pt;width:78.9pt;mso-position-horizontal-relative:margin;mso-wrap-distance-left:9pt;mso-wrap-distance-right:9pt;rotation:11796480f;z-index:-251652096;mso-width-relative:page;mso-height-relative:page;" filled="f" stroked="f" coordsize="21600,21600" wrapcoords="21592 -2 0 0 0 21600 21592 21602 8 21602 21600 21600 21600 0 8 -2 21592 -2" o:gfxdata="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LvKdQAAAAGAQAADwAAAAAAAAABACAAAAAiAAAAZHJzL2Rv&#10;d25yZXYueG1sUEsBAhQAFAAAAAgAh07iQH7Fi//MAQAAjQMAAA4AAAAAAAAAAQAgAAAAIwEAAGRy&#10;cy9lMm9Eb2MueG1sUEsFBgAAAAAGAAYAWQEAAGEFAAAAAA==&#10;">
                    <v:fill on="f" focussize="0,0"/>
                    <v:stroke on="f"/>
                    <v:imagedata o:title=""/>
                    <o:lock v:ext="edit" aspectratio="f"/>
                    <v:textbox inset="0mm,0mm,0mm,0mm">
                      <w:txbxContent>
                        <w:p w14:paraId="0D387B02">
                          <w:pPr>
                            <w:pStyle w:val="10"/>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11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v:textbox>
                    <w10:wrap type="through"/>
                  </v:shape>
                </w:pict>
              </mc:Fallback>
            </mc:AlternateContent>
          </w:r>
          <w:r>
            <w:rPr>
              <w:rFonts w:hint="eastAsia"/>
              <w:color w:val="auto"/>
            </w:rPr>
            <w:t>2</w:t>
          </w:r>
          <w:r>
            <w:rPr>
              <w:rFonts w:hint="eastAsia"/>
              <w:color w:val="auto"/>
              <w:lang w:val="en-US" w:eastAsia="zh-CN"/>
            </w:rPr>
            <w:t>026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tc>
    </w:tr>
    <w:bookmarkEnd w:id="129"/>
  </w:tbl>
  <w:p w14:paraId="659F1ADB"/>
  <w:p w14:paraId="4FA36ED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0CA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2ABC8">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4C62ABC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9180"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55B57D04">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136C4695">
          <w:pPr>
            <w:pStyle w:val="11"/>
            <w:pBdr>
              <w:bottom w:val="none" w:color="auto" w:sz="0" w:space="0"/>
            </w:pBdr>
            <w:jc w:val="both"/>
          </w:pPr>
          <w:r>
            <w:drawing>
              <wp:anchor distT="0" distB="0" distL="0" distR="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6A73B8F5"/>
      </w:tc>
    </w:tr>
  </w:tbl>
  <w:p w14:paraId="18F1BD18">
    <w:pPr>
      <w:jc w:val="left"/>
      <w:rPr>
        <w:sz w:val="10"/>
      </w:rPr>
    </w:pPr>
    <w:r>
      <w:rPr>
        <w:sz w:val="1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2673985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7079" cy="331607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4FF3">
    <w:pPr>
      <w:pStyle w:val="1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560310" cy="10692765"/>
          <wp:effectExtent l="0" t="0" r="13970" b="5715"/>
          <wp:wrapNone/>
          <wp:docPr id="3" name="WordPictureWatermark18675114"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675114"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B892">
    <w:pPr>
      <w:pStyle w:val="11"/>
      <w:pBdr>
        <w:bottom w:val="none" w:color="auto" w:sz="0" w:space="0"/>
      </w:pBdr>
      <w:jc w:val="both"/>
    </w:pPr>
    <w:r>
      <w:drawing>
        <wp:anchor distT="0" distB="0" distL="114300" distR="114300" simplePos="0" relativeHeight="251661312" behindDoc="1" locked="0" layoutInCell="0" allowOverlap="1">
          <wp:simplePos x="0" y="0"/>
          <wp:positionH relativeFrom="margin">
            <wp:posOffset>-1028700</wp:posOffset>
          </wp:positionH>
          <wp:positionV relativeFrom="margin">
            <wp:posOffset>-594360</wp:posOffset>
          </wp:positionV>
          <wp:extent cx="7560310" cy="10692765"/>
          <wp:effectExtent l="0" t="0" r="13970" b="571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62E60"/>
    <w:multiLevelType w:val="singleLevel"/>
    <w:tmpl w:val="ACF62E60"/>
    <w:lvl w:ilvl="0" w:tentative="0">
      <w:start w:val="9"/>
      <w:numFmt w:val="decimal"/>
      <w:suff w:val="nothing"/>
      <w:lvlText w:val="（%1）"/>
      <w:lvlJc w:val="left"/>
    </w:lvl>
  </w:abstractNum>
  <w:abstractNum w:abstractNumId="1">
    <w:nsid w:val="BEBE9BB3"/>
    <w:multiLevelType w:val="singleLevel"/>
    <w:tmpl w:val="BEBE9BB3"/>
    <w:lvl w:ilvl="0" w:tentative="0">
      <w:start w:val="1"/>
      <w:numFmt w:val="decimal"/>
      <w:suff w:val="nothing"/>
      <w:lvlText w:val="（%1）"/>
      <w:lvlJc w:val="left"/>
    </w:lvl>
  </w:abstractNum>
  <w:abstractNum w:abstractNumId="2">
    <w:nsid w:val="0515341B"/>
    <w:multiLevelType w:val="multilevel"/>
    <w:tmpl w:val="0515341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D2B0A28"/>
    <w:multiLevelType w:val="multilevel"/>
    <w:tmpl w:val="2D2B0A2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9B34BB7"/>
    <w:multiLevelType w:val="singleLevel"/>
    <w:tmpl w:val="69B34BB7"/>
    <w:lvl w:ilvl="0" w:tentative="0">
      <w:start w:val="1"/>
      <w:numFmt w:val="lowerLetter"/>
      <w:suff w:val="space"/>
      <w:lvlText w:val="%1)"/>
      <w:lvlJc w:val="left"/>
    </w:lvl>
  </w:abstractNum>
  <w:abstractNum w:abstractNumId="5">
    <w:nsid w:val="7D366003"/>
    <w:multiLevelType w:val="multilevel"/>
    <w:tmpl w:val="7D366003"/>
    <w:lvl w:ilvl="0" w:tentative="0">
      <w:start w:val="1"/>
      <w:numFmt w:val="lowerLetter"/>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mY5OTZjZTk3Y2M1Zjc3ZmI2NzFjZmQ1YzkyMWIifQ=="/>
    <w:docVar w:name="KSO_WPS_MARK_KEY" w:val="ccda17ee-51b3-4b25-980d-c05ba5205f30"/>
  </w:docVars>
  <w:rsids>
    <w:rsidRoot w:val="007A6EDA"/>
    <w:rsid w:val="00044602"/>
    <w:rsid w:val="000813AC"/>
    <w:rsid w:val="000843E4"/>
    <w:rsid w:val="00091D8F"/>
    <w:rsid w:val="000F081B"/>
    <w:rsid w:val="0018025A"/>
    <w:rsid w:val="001A62E2"/>
    <w:rsid w:val="001C7BB5"/>
    <w:rsid w:val="001D24FB"/>
    <w:rsid w:val="001E3801"/>
    <w:rsid w:val="00221B55"/>
    <w:rsid w:val="00240511"/>
    <w:rsid w:val="00254C0B"/>
    <w:rsid w:val="00315F19"/>
    <w:rsid w:val="00353EDE"/>
    <w:rsid w:val="003D5191"/>
    <w:rsid w:val="003F010E"/>
    <w:rsid w:val="004706B5"/>
    <w:rsid w:val="005B11A1"/>
    <w:rsid w:val="005D5339"/>
    <w:rsid w:val="007A6EDA"/>
    <w:rsid w:val="008E6599"/>
    <w:rsid w:val="009648F4"/>
    <w:rsid w:val="009B310F"/>
    <w:rsid w:val="009F5BB3"/>
    <w:rsid w:val="00A275FB"/>
    <w:rsid w:val="00AA2667"/>
    <w:rsid w:val="00AB258F"/>
    <w:rsid w:val="00AD5E9E"/>
    <w:rsid w:val="00B258A2"/>
    <w:rsid w:val="00BC1643"/>
    <w:rsid w:val="00D20F8E"/>
    <w:rsid w:val="00D22FFA"/>
    <w:rsid w:val="00E25207"/>
    <w:rsid w:val="00E8061B"/>
    <w:rsid w:val="00EB77CA"/>
    <w:rsid w:val="00F3244F"/>
    <w:rsid w:val="00FA2F03"/>
    <w:rsid w:val="066E2140"/>
    <w:rsid w:val="078C29F9"/>
    <w:rsid w:val="089F1E88"/>
    <w:rsid w:val="0A701D39"/>
    <w:rsid w:val="0AEA0988"/>
    <w:rsid w:val="0C0C1DAF"/>
    <w:rsid w:val="120C3966"/>
    <w:rsid w:val="1289121D"/>
    <w:rsid w:val="1E8904AB"/>
    <w:rsid w:val="1EDC44C0"/>
    <w:rsid w:val="1F1E48D5"/>
    <w:rsid w:val="267D3E96"/>
    <w:rsid w:val="2A6B1C75"/>
    <w:rsid w:val="2F9363E1"/>
    <w:rsid w:val="30976EF4"/>
    <w:rsid w:val="34070D19"/>
    <w:rsid w:val="355710E4"/>
    <w:rsid w:val="397839B6"/>
    <w:rsid w:val="3A9800E3"/>
    <w:rsid w:val="3AE25B9F"/>
    <w:rsid w:val="3BDF2EF8"/>
    <w:rsid w:val="3F7D06D7"/>
    <w:rsid w:val="44314A28"/>
    <w:rsid w:val="44DF16F0"/>
    <w:rsid w:val="454E4C7C"/>
    <w:rsid w:val="480A3854"/>
    <w:rsid w:val="51427118"/>
    <w:rsid w:val="51530A9C"/>
    <w:rsid w:val="51970A03"/>
    <w:rsid w:val="51C45932"/>
    <w:rsid w:val="541E1033"/>
    <w:rsid w:val="591511CE"/>
    <w:rsid w:val="5A685562"/>
    <w:rsid w:val="5B567260"/>
    <w:rsid w:val="5C0A0C51"/>
    <w:rsid w:val="5E4B3F43"/>
    <w:rsid w:val="5EE65417"/>
    <w:rsid w:val="61095CDB"/>
    <w:rsid w:val="6346692C"/>
    <w:rsid w:val="649E4816"/>
    <w:rsid w:val="6AD62431"/>
    <w:rsid w:val="6D510BC1"/>
    <w:rsid w:val="6EF54B98"/>
    <w:rsid w:val="6F51369A"/>
    <w:rsid w:val="73B2211A"/>
    <w:rsid w:val="74B4085B"/>
    <w:rsid w:val="76C44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0"/>
    <w:pPr>
      <w:keepNext/>
      <w:jc w:val="center"/>
      <w:outlineLvl w:val="4"/>
    </w:pPr>
    <w:rPr>
      <w:rFonts w:ascii="黑体" w:eastAsia="黑体"/>
      <w:sz w:val="72"/>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widowControl/>
      <w:ind w:firstLine="560" w:firstLineChars="200"/>
      <w:jc w:val="left"/>
    </w:pPr>
    <w:rPr>
      <w:rFonts w:ascii="宋体" w:hAnsi="宋体"/>
      <w:color w:val="000000"/>
      <w:sz w:val="28"/>
      <w:szCs w:val="33"/>
    </w:rPr>
  </w:style>
  <w:style w:type="paragraph" w:styleId="6">
    <w:name w:val="List 2"/>
    <w:basedOn w:val="1"/>
    <w:qFormat/>
    <w:uiPriority w:val="0"/>
    <w:pPr>
      <w:ind w:left="100" w:leftChars="200" w:hanging="200" w:hangingChars="200"/>
    </w:pPr>
  </w:style>
  <w:style w:type="paragraph" w:styleId="7">
    <w:name w:val="toc 3"/>
    <w:basedOn w:val="1"/>
    <w:next w:val="1"/>
    <w:semiHidden/>
    <w:unhideWhenUsed/>
    <w:qFormat/>
    <w:uiPriority w:val="0"/>
    <w:pPr>
      <w:ind w:left="840" w:leftChars="4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3">
    <w:name w:val="Body Text Indent 3"/>
    <w:basedOn w:val="1"/>
    <w:qFormat/>
    <w:uiPriority w:val="0"/>
    <w:pPr>
      <w:spacing w:after="120"/>
      <w:ind w:left="420" w:leftChars="200"/>
    </w:pPr>
    <w:rPr>
      <w:sz w:val="16"/>
      <w:szCs w:val="16"/>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customStyle="1" w:styleId="20">
    <w:name w:val="批注框文本 Char"/>
    <w:basedOn w:val="17"/>
    <w:link w:val="9"/>
    <w:qFormat/>
    <w:uiPriority w:val="0"/>
    <w:rPr>
      <w:kern w:val="2"/>
      <w:sz w:val="18"/>
      <w:szCs w:val="18"/>
    </w:rPr>
  </w:style>
  <w:style w:type="paragraph" w:customStyle="1" w:styleId="2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2">
    <w:name w:val="Default"/>
    <w:qFormat/>
    <w:uiPriority w:val="0"/>
    <w:pPr>
      <w:widowControl w:val="0"/>
      <w:autoSpaceDE w:val="0"/>
      <w:autoSpaceDN w:val="0"/>
      <w:adjustRightInd w:val="0"/>
    </w:pPr>
    <w:rPr>
      <w:rFonts w:hint="eastAsia" w:ascii=".." w:hAnsi="Times New Roman" w:eastAsia=".." w:cs="Times New Roman"/>
      <w:color w:val="000000"/>
      <w:sz w:val="24"/>
      <w:szCs w:val="24"/>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12</Pages>
  <Words>5650</Words>
  <Characters>5970</Characters>
  <Lines>5</Lines>
  <Paragraphs>1</Paragraphs>
  <TotalTime>51</TotalTime>
  <ScaleCrop>false</ScaleCrop>
  <LinksUpToDate>false</LinksUpToDate>
  <CharactersWithSpaces>6176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hh</dc:creator>
  <cp:lastModifiedBy>吕丹石</cp:lastModifiedBy>
  <cp:lastPrinted>2023-04-07T05:36:00Z</cp:lastPrinted>
  <dcterms:modified xsi:type="dcterms:W3CDTF">2026-05-09T04:06:12Z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FA4A47ED9A0C43A3A2BC083AC184C0AC_13</vt:lpwstr>
  </property>
  <property fmtid="{D5CDD505-2E9C-101B-9397-08002B2CF9AE}" pid="4" name="KSOTemplateDocerSaveRecord">
    <vt:lpwstr>eyJoZGlkIjoiYjI1ODI3YzlmMmVlZjE1ZDRlYmVjZjQyMGE5ZjE3NzciLCJ1c2VySWQiOiIxNDkyMTkyNDQ2In0=</vt:lpwstr>
  </property>
</Properties>
</file>